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93"/>
      </w:tblGrid>
      <w:tr w:rsidR="00CE544A" w:rsidRPr="00975B07" w:rsidTr="006A3DDF">
        <w:tc>
          <w:tcPr>
            <w:tcW w:w="2438" w:type="dxa"/>
            <w:shd w:val="clear" w:color="auto" w:fill="auto"/>
          </w:tcPr>
          <w:p w:rsidR="00F445B1" w:rsidRPr="00481BC5" w:rsidRDefault="00F445B1" w:rsidP="004A6D2F">
            <w:pPr>
              <w:rPr>
                <w:rStyle w:val="Firstpagetablebold"/>
                <w:sz w:val="22"/>
                <w:szCs w:val="22"/>
              </w:rPr>
            </w:pPr>
            <w:r w:rsidRPr="00481BC5">
              <w:rPr>
                <w:rStyle w:val="Firstpagetablebold"/>
                <w:sz w:val="22"/>
                <w:szCs w:val="22"/>
              </w:rPr>
              <w:t>To</w:t>
            </w:r>
            <w:r w:rsidR="005C35A5" w:rsidRPr="00481BC5">
              <w:rPr>
                <w:rStyle w:val="Firstpagetablebold"/>
                <w:sz w:val="22"/>
                <w:szCs w:val="22"/>
              </w:rPr>
              <w:t>:</w:t>
            </w:r>
          </w:p>
        </w:tc>
        <w:tc>
          <w:tcPr>
            <w:tcW w:w="6493" w:type="dxa"/>
            <w:shd w:val="clear" w:color="auto" w:fill="auto"/>
          </w:tcPr>
          <w:p w:rsidR="00F445B1" w:rsidRPr="00481BC5" w:rsidRDefault="00C50470" w:rsidP="004A6D2F">
            <w:pPr>
              <w:rPr>
                <w:rStyle w:val="Firstpagetablebold"/>
                <w:sz w:val="22"/>
                <w:szCs w:val="22"/>
              </w:rPr>
            </w:pPr>
            <w:r>
              <w:rPr>
                <w:rStyle w:val="Firstpagetablebold"/>
                <w:sz w:val="22"/>
                <w:szCs w:val="22"/>
              </w:rPr>
              <w:t>Cabinet</w:t>
            </w:r>
          </w:p>
        </w:tc>
      </w:tr>
      <w:tr w:rsidR="00CE544A" w:rsidRPr="00975B07" w:rsidTr="006A3DDF">
        <w:tc>
          <w:tcPr>
            <w:tcW w:w="2438" w:type="dxa"/>
            <w:shd w:val="clear" w:color="auto" w:fill="auto"/>
          </w:tcPr>
          <w:p w:rsidR="00F445B1" w:rsidRPr="00481BC5" w:rsidRDefault="00F445B1" w:rsidP="004A6D2F">
            <w:pPr>
              <w:rPr>
                <w:rStyle w:val="Firstpagetablebold"/>
                <w:sz w:val="22"/>
                <w:szCs w:val="22"/>
              </w:rPr>
            </w:pPr>
            <w:r w:rsidRPr="00481BC5">
              <w:rPr>
                <w:rStyle w:val="Firstpagetablebold"/>
                <w:sz w:val="22"/>
                <w:szCs w:val="22"/>
              </w:rPr>
              <w:t>Dat</w:t>
            </w:r>
            <w:r w:rsidR="005C35A5" w:rsidRPr="00481BC5">
              <w:rPr>
                <w:rStyle w:val="Firstpagetablebold"/>
                <w:sz w:val="22"/>
                <w:szCs w:val="22"/>
              </w:rPr>
              <w:t>e:</w:t>
            </w:r>
          </w:p>
        </w:tc>
        <w:tc>
          <w:tcPr>
            <w:tcW w:w="6493" w:type="dxa"/>
            <w:shd w:val="clear" w:color="auto" w:fill="auto"/>
          </w:tcPr>
          <w:p w:rsidR="00F445B1" w:rsidRPr="00481BC5" w:rsidRDefault="006C271F" w:rsidP="005D0621">
            <w:pPr>
              <w:rPr>
                <w:b/>
                <w:sz w:val="22"/>
                <w:szCs w:val="22"/>
              </w:rPr>
            </w:pPr>
            <w:r w:rsidRPr="00481BC5">
              <w:rPr>
                <w:rStyle w:val="Firstpagetablebold"/>
                <w:sz w:val="22"/>
                <w:szCs w:val="22"/>
              </w:rPr>
              <w:t>2</w:t>
            </w:r>
            <w:r w:rsidR="00E86939">
              <w:rPr>
                <w:rStyle w:val="Firstpagetablebold"/>
                <w:sz w:val="22"/>
                <w:szCs w:val="22"/>
              </w:rPr>
              <w:t>9</w:t>
            </w:r>
            <w:r w:rsidRPr="00481BC5">
              <w:rPr>
                <w:rStyle w:val="Firstpagetablebold"/>
                <w:sz w:val="22"/>
                <w:szCs w:val="22"/>
              </w:rPr>
              <w:t xml:space="preserve"> May 2019</w:t>
            </w:r>
          </w:p>
        </w:tc>
      </w:tr>
      <w:tr w:rsidR="00CE544A" w:rsidRPr="00975B07" w:rsidTr="006A3DDF">
        <w:tc>
          <w:tcPr>
            <w:tcW w:w="2438" w:type="dxa"/>
            <w:shd w:val="clear" w:color="auto" w:fill="auto"/>
          </w:tcPr>
          <w:p w:rsidR="00F445B1" w:rsidRPr="00481BC5" w:rsidRDefault="00F445B1" w:rsidP="004A6D2F">
            <w:pPr>
              <w:rPr>
                <w:rStyle w:val="Firstpagetablebold"/>
                <w:sz w:val="22"/>
                <w:szCs w:val="22"/>
              </w:rPr>
            </w:pPr>
            <w:r w:rsidRPr="00481BC5">
              <w:rPr>
                <w:rStyle w:val="Firstpagetablebold"/>
                <w:sz w:val="22"/>
                <w:szCs w:val="22"/>
              </w:rPr>
              <w:t>Report of</w:t>
            </w:r>
            <w:r w:rsidR="005C35A5" w:rsidRPr="00481BC5">
              <w:rPr>
                <w:rStyle w:val="Firstpagetablebold"/>
                <w:sz w:val="22"/>
                <w:szCs w:val="22"/>
              </w:rPr>
              <w:t>:</w:t>
            </w:r>
          </w:p>
        </w:tc>
        <w:tc>
          <w:tcPr>
            <w:tcW w:w="6493" w:type="dxa"/>
            <w:shd w:val="clear" w:color="auto" w:fill="auto"/>
          </w:tcPr>
          <w:p w:rsidR="00F445B1" w:rsidRPr="00481BC5" w:rsidRDefault="0054252F" w:rsidP="0054252F">
            <w:pPr>
              <w:rPr>
                <w:rStyle w:val="Firstpagetablebold"/>
                <w:sz w:val="22"/>
                <w:szCs w:val="22"/>
              </w:rPr>
            </w:pPr>
            <w:r>
              <w:rPr>
                <w:rStyle w:val="Firstpagetablebold"/>
                <w:sz w:val="22"/>
                <w:szCs w:val="22"/>
              </w:rPr>
              <w:t>Head of Community Services</w:t>
            </w:r>
          </w:p>
        </w:tc>
      </w:tr>
      <w:tr w:rsidR="00CE544A" w:rsidRPr="00975B07" w:rsidTr="006A3DDF">
        <w:tc>
          <w:tcPr>
            <w:tcW w:w="2438" w:type="dxa"/>
            <w:shd w:val="clear" w:color="auto" w:fill="auto"/>
          </w:tcPr>
          <w:p w:rsidR="00F445B1" w:rsidRPr="00481BC5" w:rsidRDefault="00F445B1" w:rsidP="004A6D2F">
            <w:pPr>
              <w:rPr>
                <w:rStyle w:val="Firstpagetablebold"/>
                <w:sz w:val="22"/>
                <w:szCs w:val="22"/>
              </w:rPr>
            </w:pPr>
            <w:r w:rsidRPr="00481BC5">
              <w:rPr>
                <w:rStyle w:val="Firstpagetablebold"/>
                <w:sz w:val="22"/>
                <w:szCs w:val="22"/>
              </w:rPr>
              <w:t xml:space="preserve">Title of Report: </w:t>
            </w:r>
          </w:p>
        </w:tc>
        <w:tc>
          <w:tcPr>
            <w:tcW w:w="6493" w:type="dxa"/>
            <w:shd w:val="clear" w:color="auto" w:fill="auto"/>
          </w:tcPr>
          <w:p w:rsidR="00F445B1" w:rsidRPr="00481BC5" w:rsidRDefault="001750EA" w:rsidP="004A6D2F">
            <w:pPr>
              <w:rPr>
                <w:rStyle w:val="Firstpagetablebold"/>
                <w:color w:val="0070C0"/>
                <w:sz w:val="22"/>
                <w:szCs w:val="22"/>
              </w:rPr>
            </w:pPr>
            <w:r w:rsidRPr="00481BC5">
              <w:rPr>
                <w:rStyle w:val="Firstpagetablebold"/>
                <w:color w:val="auto"/>
                <w:sz w:val="22"/>
                <w:szCs w:val="22"/>
              </w:rPr>
              <w:t>Grave Reclamation within Oxford City Council Cemeteries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Pr="00175679" w:rsidRDefault="00745BF0" w:rsidP="00745BF0">
            <w:pPr>
              <w:jc w:val="center"/>
              <w:rPr>
                <w:rStyle w:val="Firstpagetablebold"/>
                <w:sz w:val="22"/>
                <w:szCs w:val="22"/>
              </w:rPr>
            </w:pPr>
            <w:r w:rsidRPr="00175679">
              <w:rPr>
                <w:rStyle w:val="Firstpagetablebold"/>
                <w:sz w:val="22"/>
                <w:szCs w:val="22"/>
              </w:rPr>
              <w:t>Summary and r</w:t>
            </w:r>
            <w:r w:rsidR="00D5547E" w:rsidRPr="00175679">
              <w:rPr>
                <w:rStyle w:val="Firstpagetablebold"/>
                <w:sz w:val="22"/>
                <w:szCs w:val="22"/>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Pr="00481BC5" w:rsidRDefault="00D5547E">
            <w:pPr>
              <w:rPr>
                <w:rStyle w:val="Firstpagetablebold"/>
                <w:sz w:val="22"/>
                <w:szCs w:val="22"/>
              </w:rPr>
            </w:pPr>
            <w:r w:rsidRPr="00481BC5">
              <w:rPr>
                <w:rStyle w:val="Firstpagetablebold"/>
                <w:sz w:val="22"/>
                <w:szCs w:val="22"/>
              </w:rPr>
              <w:t>Purpose of report:</w:t>
            </w:r>
          </w:p>
        </w:tc>
        <w:tc>
          <w:tcPr>
            <w:tcW w:w="6407" w:type="dxa"/>
            <w:tcBorders>
              <w:top w:val="single" w:sz="8" w:space="0" w:color="000000"/>
              <w:left w:val="nil"/>
              <w:bottom w:val="nil"/>
              <w:right w:val="single" w:sz="8" w:space="0" w:color="000000"/>
            </w:tcBorders>
            <w:hideMark/>
          </w:tcPr>
          <w:p w:rsidR="00E445E4" w:rsidRPr="00481BC5" w:rsidRDefault="009803AD" w:rsidP="009803AD">
            <w:pPr>
              <w:rPr>
                <w:color w:val="auto"/>
                <w:sz w:val="22"/>
                <w:szCs w:val="22"/>
              </w:rPr>
            </w:pPr>
            <w:r w:rsidRPr="00481BC5">
              <w:rPr>
                <w:color w:val="auto"/>
                <w:sz w:val="22"/>
                <w:szCs w:val="22"/>
              </w:rPr>
              <w:t xml:space="preserve">By </w:t>
            </w:r>
            <w:r w:rsidR="00481BC5" w:rsidRPr="00481BC5">
              <w:rPr>
                <w:color w:val="auto"/>
                <w:sz w:val="22"/>
                <w:szCs w:val="22"/>
              </w:rPr>
              <w:t xml:space="preserve">circa </w:t>
            </w:r>
            <w:r w:rsidRPr="00481BC5">
              <w:rPr>
                <w:color w:val="auto"/>
                <w:sz w:val="22"/>
                <w:szCs w:val="22"/>
              </w:rPr>
              <w:t>2021 all Oxford City Council Cemeteries will be full and closed to new burials</w:t>
            </w:r>
            <w:r w:rsidR="00665C79">
              <w:rPr>
                <w:color w:val="auto"/>
                <w:sz w:val="22"/>
                <w:szCs w:val="22"/>
              </w:rPr>
              <w:t xml:space="preserve"> l</w:t>
            </w:r>
            <w:r w:rsidR="00E445E4" w:rsidRPr="00481BC5">
              <w:rPr>
                <w:color w:val="auto"/>
                <w:sz w:val="22"/>
                <w:szCs w:val="22"/>
              </w:rPr>
              <w:t xml:space="preserve">eaving Oxford City without any </w:t>
            </w:r>
            <w:r w:rsidR="00481BC5" w:rsidRPr="00481BC5">
              <w:rPr>
                <w:color w:val="auto"/>
                <w:sz w:val="22"/>
                <w:szCs w:val="22"/>
              </w:rPr>
              <w:t xml:space="preserve">new </w:t>
            </w:r>
            <w:r w:rsidR="00E445E4" w:rsidRPr="00481BC5">
              <w:rPr>
                <w:color w:val="auto"/>
                <w:sz w:val="22"/>
                <w:szCs w:val="22"/>
              </w:rPr>
              <w:t>space to bury Oxford residents.</w:t>
            </w:r>
            <w:r w:rsidRPr="00481BC5">
              <w:rPr>
                <w:color w:val="auto"/>
                <w:sz w:val="22"/>
                <w:szCs w:val="22"/>
              </w:rPr>
              <w:t xml:space="preserve"> </w:t>
            </w:r>
          </w:p>
          <w:p w:rsidR="00D5547E" w:rsidRPr="00481BC5" w:rsidRDefault="001750EA" w:rsidP="008860E1">
            <w:pPr>
              <w:rPr>
                <w:color w:val="auto"/>
                <w:sz w:val="22"/>
                <w:szCs w:val="22"/>
              </w:rPr>
            </w:pPr>
            <w:r w:rsidRPr="00481BC5">
              <w:rPr>
                <w:color w:val="auto"/>
                <w:sz w:val="22"/>
                <w:szCs w:val="22"/>
              </w:rPr>
              <w:t xml:space="preserve">This report is to approve </w:t>
            </w:r>
            <w:r w:rsidR="008860E1">
              <w:rPr>
                <w:color w:val="auto"/>
                <w:sz w:val="22"/>
                <w:szCs w:val="22"/>
              </w:rPr>
              <w:t>reclaiming</w:t>
            </w:r>
            <w:r w:rsidRPr="00481BC5">
              <w:rPr>
                <w:color w:val="auto"/>
                <w:sz w:val="22"/>
                <w:szCs w:val="22"/>
              </w:rPr>
              <w:t xml:space="preserve"> grave</w:t>
            </w:r>
            <w:r w:rsidR="00DF74B2">
              <w:rPr>
                <w:color w:val="auto"/>
                <w:sz w:val="22"/>
                <w:szCs w:val="22"/>
              </w:rPr>
              <w:t xml:space="preserve"> plot</w:t>
            </w:r>
            <w:r w:rsidRPr="00481BC5">
              <w:rPr>
                <w:color w:val="auto"/>
                <w:sz w:val="22"/>
                <w:szCs w:val="22"/>
              </w:rPr>
              <w:t xml:space="preserve">s. </w:t>
            </w:r>
            <w:r w:rsidR="008860E1">
              <w:rPr>
                <w:color w:val="auto"/>
                <w:sz w:val="22"/>
                <w:szCs w:val="22"/>
              </w:rPr>
              <w:t xml:space="preserve">Potentially providing </w:t>
            </w:r>
            <w:r w:rsidR="003169AC" w:rsidRPr="00481BC5">
              <w:rPr>
                <w:color w:val="auto"/>
                <w:sz w:val="22"/>
                <w:szCs w:val="22"/>
              </w:rPr>
              <w:t xml:space="preserve">burial space </w:t>
            </w:r>
            <w:r w:rsidR="008860E1">
              <w:rPr>
                <w:color w:val="auto"/>
                <w:sz w:val="22"/>
                <w:szCs w:val="22"/>
              </w:rPr>
              <w:t>for an</w:t>
            </w:r>
            <w:r w:rsidR="00481BC5" w:rsidRPr="00481BC5">
              <w:rPr>
                <w:color w:val="auto"/>
                <w:sz w:val="22"/>
                <w:szCs w:val="22"/>
              </w:rPr>
              <w:t xml:space="preserve"> </w:t>
            </w:r>
            <w:r w:rsidR="003169AC" w:rsidRPr="00481BC5">
              <w:rPr>
                <w:color w:val="auto"/>
                <w:sz w:val="22"/>
                <w:szCs w:val="22"/>
              </w:rPr>
              <w:t>additional two years.</w:t>
            </w:r>
            <w:r w:rsidR="009803AD" w:rsidRPr="00481BC5">
              <w:rPr>
                <w:color w:val="auto"/>
                <w:sz w:val="22"/>
                <w:szCs w:val="22"/>
              </w:rPr>
              <w:t xml:space="preserve"> </w:t>
            </w:r>
          </w:p>
        </w:tc>
      </w:tr>
      <w:tr w:rsidR="00D5547E" w:rsidTr="0080749A">
        <w:tc>
          <w:tcPr>
            <w:tcW w:w="2438" w:type="dxa"/>
            <w:gridSpan w:val="2"/>
            <w:tcBorders>
              <w:top w:val="nil"/>
              <w:left w:val="single" w:sz="8" w:space="0" w:color="000000"/>
              <w:bottom w:val="nil"/>
              <w:right w:val="nil"/>
            </w:tcBorders>
            <w:hideMark/>
          </w:tcPr>
          <w:p w:rsidR="00D5547E" w:rsidRPr="00481BC5" w:rsidRDefault="00D5547E">
            <w:pPr>
              <w:rPr>
                <w:rStyle w:val="Firstpagetablebold"/>
                <w:sz w:val="22"/>
                <w:szCs w:val="22"/>
              </w:rPr>
            </w:pPr>
            <w:r w:rsidRPr="00481BC5">
              <w:rPr>
                <w:rStyle w:val="Firstpagetablebold"/>
                <w:sz w:val="22"/>
                <w:szCs w:val="22"/>
              </w:rPr>
              <w:t>Key decision:</w:t>
            </w:r>
          </w:p>
        </w:tc>
        <w:tc>
          <w:tcPr>
            <w:tcW w:w="6407" w:type="dxa"/>
            <w:tcBorders>
              <w:top w:val="nil"/>
              <w:left w:val="nil"/>
              <w:bottom w:val="nil"/>
              <w:right w:val="single" w:sz="8" w:space="0" w:color="000000"/>
            </w:tcBorders>
            <w:hideMark/>
          </w:tcPr>
          <w:p w:rsidR="00D5547E" w:rsidRPr="00481BC5" w:rsidRDefault="00D5547E" w:rsidP="00665C79">
            <w:pPr>
              <w:rPr>
                <w:color w:val="auto"/>
                <w:sz w:val="22"/>
                <w:szCs w:val="22"/>
              </w:rPr>
            </w:pPr>
            <w:r w:rsidRPr="00481BC5">
              <w:rPr>
                <w:color w:val="auto"/>
                <w:sz w:val="22"/>
                <w:szCs w:val="22"/>
              </w:rPr>
              <w:t xml:space="preserve">Yes </w:t>
            </w:r>
          </w:p>
        </w:tc>
      </w:tr>
      <w:tr w:rsidR="00D5547E" w:rsidTr="0080749A">
        <w:tc>
          <w:tcPr>
            <w:tcW w:w="2438" w:type="dxa"/>
            <w:gridSpan w:val="2"/>
            <w:tcBorders>
              <w:top w:val="nil"/>
              <w:left w:val="single" w:sz="8" w:space="0" w:color="000000"/>
              <w:bottom w:val="nil"/>
              <w:right w:val="nil"/>
            </w:tcBorders>
            <w:hideMark/>
          </w:tcPr>
          <w:p w:rsidR="00D5547E" w:rsidRPr="00481BC5" w:rsidRDefault="00C50470">
            <w:pPr>
              <w:rPr>
                <w:rStyle w:val="Firstpagetablebold"/>
                <w:sz w:val="22"/>
                <w:szCs w:val="22"/>
              </w:rPr>
            </w:pPr>
            <w:r>
              <w:rPr>
                <w:rStyle w:val="Firstpagetablebold"/>
                <w:sz w:val="22"/>
                <w:szCs w:val="22"/>
              </w:rPr>
              <w:t>Cabinet Member</w:t>
            </w:r>
            <w:r w:rsidR="00D5547E" w:rsidRPr="00481BC5">
              <w:rPr>
                <w:rStyle w:val="Firstpagetablebold"/>
                <w:sz w:val="22"/>
                <w:szCs w:val="22"/>
              </w:rPr>
              <w:t>:</w:t>
            </w:r>
          </w:p>
        </w:tc>
        <w:tc>
          <w:tcPr>
            <w:tcW w:w="6407" w:type="dxa"/>
            <w:tcBorders>
              <w:top w:val="nil"/>
              <w:left w:val="nil"/>
              <w:bottom w:val="nil"/>
              <w:right w:val="single" w:sz="8" w:space="0" w:color="000000"/>
            </w:tcBorders>
            <w:hideMark/>
          </w:tcPr>
          <w:p w:rsidR="00D5547E" w:rsidRPr="00481BC5" w:rsidRDefault="00F705F1" w:rsidP="00C50470">
            <w:pPr>
              <w:rPr>
                <w:color w:val="auto"/>
                <w:sz w:val="22"/>
                <w:szCs w:val="22"/>
              </w:rPr>
            </w:pPr>
            <w:r w:rsidRPr="00481BC5">
              <w:rPr>
                <w:color w:val="auto"/>
                <w:sz w:val="22"/>
                <w:szCs w:val="22"/>
              </w:rPr>
              <w:t>Healthy Oxford</w:t>
            </w:r>
            <w:r w:rsidR="00BA1BBC" w:rsidRPr="00481BC5">
              <w:rPr>
                <w:color w:val="auto"/>
                <w:sz w:val="22"/>
                <w:szCs w:val="22"/>
              </w:rPr>
              <w:t xml:space="preserve">. </w:t>
            </w:r>
          </w:p>
        </w:tc>
      </w:tr>
      <w:tr w:rsidR="0080749A" w:rsidTr="0080749A">
        <w:tc>
          <w:tcPr>
            <w:tcW w:w="2438" w:type="dxa"/>
            <w:gridSpan w:val="2"/>
            <w:tcBorders>
              <w:top w:val="nil"/>
              <w:left w:val="single" w:sz="8" w:space="0" w:color="000000"/>
              <w:bottom w:val="nil"/>
              <w:right w:val="nil"/>
            </w:tcBorders>
          </w:tcPr>
          <w:p w:rsidR="0080749A" w:rsidRPr="00481BC5" w:rsidRDefault="0080749A">
            <w:pPr>
              <w:rPr>
                <w:rStyle w:val="Firstpagetablebold"/>
                <w:sz w:val="22"/>
                <w:szCs w:val="22"/>
              </w:rPr>
            </w:pPr>
            <w:r w:rsidRPr="00481BC5">
              <w:rPr>
                <w:rStyle w:val="Firstpagetablebold"/>
                <w:sz w:val="22"/>
                <w:szCs w:val="22"/>
              </w:rPr>
              <w:t>Corporate Priority:</w:t>
            </w:r>
          </w:p>
        </w:tc>
        <w:tc>
          <w:tcPr>
            <w:tcW w:w="6407" w:type="dxa"/>
            <w:tcBorders>
              <w:top w:val="nil"/>
              <w:left w:val="nil"/>
              <w:bottom w:val="nil"/>
              <w:right w:val="single" w:sz="8" w:space="0" w:color="000000"/>
            </w:tcBorders>
          </w:tcPr>
          <w:p w:rsidR="0080749A" w:rsidRPr="00481BC5" w:rsidRDefault="00663B1C" w:rsidP="005F7F7E">
            <w:pPr>
              <w:rPr>
                <w:color w:val="auto"/>
                <w:sz w:val="22"/>
                <w:szCs w:val="22"/>
              </w:rPr>
            </w:pPr>
            <w:r w:rsidRPr="00481BC5">
              <w:rPr>
                <w:color w:val="auto"/>
                <w:sz w:val="22"/>
                <w:szCs w:val="22"/>
              </w:rPr>
              <w:t xml:space="preserve">Oxford City Council Corporate Plan, 2016–2020 – Active Communities </w:t>
            </w:r>
          </w:p>
        </w:tc>
      </w:tr>
      <w:tr w:rsidR="00D5547E" w:rsidTr="0080749A">
        <w:tc>
          <w:tcPr>
            <w:tcW w:w="2438" w:type="dxa"/>
            <w:gridSpan w:val="2"/>
            <w:tcBorders>
              <w:top w:val="nil"/>
              <w:left w:val="single" w:sz="8" w:space="0" w:color="000000"/>
              <w:bottom w:val="nil"/>
              <w:right w:val="nil"/>
            </w:tcBorders>
            <w:hideMark/>
          </w:tcPr>
          <w:p w:rsidR="00D5547E" w:rsidRPr="00481BC5" w:rsidRDefault="00D5547E">
            <w:pPr>
              <w:rPr>
                <w:rStyle w:val="Firstpagetablebold"/>
                <w:sz w:val="22"/>
                <w:szCs w:val="22"/>
              </w:rPr>
            </w:pPr>
            <w:r w:rsidRPr="00481BC5">
              <w:rPr>
                <w:rStyle w:val="Firstpagetablebold"/>
                <w:sz w:val="22"/>
                <w:szCs w:val="22"/>
              </w:rPr>
              <w:t>Policy Framework:</w:t>
            </w:r>
          </w:p>
        </w:tc>
        <w:tc>
          <w:tcPr>
            <w:tcW w:w="6407" w:type="dxa"/>
            <w:tcBorders>
              <w:top w:val="nil"/>
              <w:left w:val="nil"/>
              <w:bottom w:val="nil"/>
              <w:right w:val="single" w:sz="8" w:space="0" w:color="000000"/>
            </w:tcBorders>
            <w:hideMark/>
          </w:tcPr>
          <w:p w:rsidR="00D5547E" w:rsidRPr="00481BC5" w:rsidRDefault="00F705F1" w:rsidP="005F7F7E">
            <w:pPr>
              <w:rPr>
                <w:color w:val="auto"/>
                <w:sz w:val="22"/>
                <w:szCs w:val="22"/>
              </w:rPr>
            </w:pPr>
            <w:r w:rsidRPr="00481BC5">
              <w:rPr>
                <w:color w:val="auto"/>
                <w:sz w:val="22"/>
                <w:szCs w:val="22"/>
              </w:rPr>
              <w:t>Green Spaces Strategy 2013-2027</w:t>
            </w:r>
          </w:p>
        </w:tc>
      </w:tr>
      <w:tr w:rsidR="005F7F7E" w:rsidRPr="00975B07" w:rsidTr="00A46E98">
        <w:trPr>
          <w:trHeight w:val="413"/>
        </w:trPr>
        <w:tc>
          <w:tcPr>
            <w:tcW w:w="8845" w:type="dxa"/>
            <w:gridSpan w:val="3"/>
            <w:tcBorders>
              <w:bottom w:val="single" w:sz="8" w:space="0" w:color="000000"/>
            </w:tcBorders>
          </w:tcPr>
          <w:p w:rsidR="005F7F7E" w:rsidRPr="00175679" w:rsidRDefault="00B85304" w:rsidP="00C50470">
            <w:pPr>
              <w:rPr>
                <w:sz w:val="22"/>
                <w:szCs w:val="22"/>
              </w:rPr>
            </w:pPr>
            <w:r>
              <w:rPr>
                <w:rStyle w:val="Firstpagetablebold"/>
                <w:sz w:val="22"/>
                <w:szCs w:val="22"/>
              </w:rPr>
              <w:t>Recommendation</w:t>
            </w:r>
            <w:r w:rsidR="005F7F7E" w:rsidRPr="00175679">
              <w:rPr>
                <w:rStyle w:val="Firstpagetablebold"/>
                <w:sz w:val="22"/>
                <w:szCs w:val="22"/>
              </w:rPr>
              <w:t>s:</w:t>
            </w:r>
            <w:r w:rsidR="009169DA">
              <w:rPr>
                <w:rStyle w:val="Firstpagetablebold"/>
                <w:sz w:val="22"/>
                <w:szCs w:val="22"/>
              </w:rPr>
              <w:t xml:space="preserve"> </w:t>
            </w:r>
            <w:r w:rsidR="005F7F7E" w:rsidRPr="00B85304">
              <w:rPr>
                <w:rStyle w:val="Firstpagetablebold"/>
                <w:b w:val="0"/>
                <w:sz w:val="22"/>
                <w:szCs w:val="22"/>
              </w:rPr>
              <w:t xml:space="preserve">That </w:t>
            </w:r>
            <w:r w:rsidR="00C50470">
              <w:rPr>
                <w:rStyle w:val="Firstpagetablebold"/>
                <w:b w:val="0"/>
                <w:sz w:val="22"/>
                <w:szCs w:val="22"/>
              </w:rPr>
              <w:t xml:space="preserve">Cabinet </w:t>
            </w:r>
            <w:r w:rsidR="005F7F7E" w:rsidRPr="00B85304">
              <w:rPr>
                <w:rStyle w:val="Firstpagetablebold"/>
                <w:b w:val="0"/>
                <w:sz w:val="22"/>
                <w:szCs w:val="22"/>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169DA" w:rsidRDefault="0030208D" w:rsidP="00BC2BE7">
            <w:pPr>
              <w:pStyle w:val="ListParagraph"/>
              <w:numPr>
                <w:ilvl w:val="0"/>
                <w:numId w:val="37"/>
              </w:numPr>
            </w:pPr>
          </w:p>
        </w:tc>
        <w:tc>
          <w:tcPr>
            <w:tcW w:w="8419" w:type="dxa"/>
            <w:gridSpan w:val="2"/>
            <w:tcBorders>
              <w:top w:val="single" w:sz="8" w:space="0" w:color="000000"/>
              <w:left w:val="nil"/>
              <w:bottom w:val="nil"/>
              <w:right w:val="single" w:sz="8" w:space="0" w:color="000000"/>
            </w:tcBorders>
            <w:shd w:val="clear" w:color="auto" w:fill="auto"/>
          </w:tcPr>
          <w:p w:rsidR="0030208D" w:rsidRPr="009169DA" w:rsidRDefault="003573BD" w:rsidP="00E5433B">
            <w:pPr>
              <w:pStyle w:val="ListParagraph"/>
              <w:numPr>
                <w:ilvl w:val="0"/>
                <w:numId w:val="38"/>
              </w:numPr>
              <w:ind w:left="0" w:firstLine="0"/>
            </w:pPr>
            <w:bookmarkStart w:id="0" w:name="_GoBack"/>
            <w:r w:rsidRPr="009169DA">
              <w:rPr>
                <w:b/>
              </w:rPr>
              <w:t xml:space="preserve">Grant </w:t>
            </w:r>
            <w:r w:rsidRPr="009169DA">
              <w:t>project approval to</w:t>
            </w:r>
            <w:r w:rsidR="006E5569" w:rsidRPr="009169DA">
              <w:t xml:space="preserve"> </w:t>
            </w:r>
            <w:r w:rsidRPr="009169DA">
              <w:t xml:space="preserve">the </w:t>
            </w:r>
            <w:r w:rsidR="00E5433B" w:rsidRPr="009169DA">
              <w:t xml:space="preserve">grave </w:t>
            </w:r>
            <w:r w:rsidR="00DF74B2" w:rsidRPr="009169DA">
              <w:t xml:space="preserve">plot </w:t>
            </w:r>
            <w:r w:rsidR="00E5433B" w:rsidRPr="009169DA">
              <w:t>reclamation</w:t>
            </w:r>
            <w:r w:rsidRPr="009169DA">
              <w:t xml:space="preserve"> pro</w:t>
            </w:r>
            <w:r w:rsidR="00B85304" w:rsidRPr="009169DA">
              <w:t>posal as set out in this report;</w:t>
            </w:r>
            <w:r w:rsidRPr="009169DA">
              <w:t xml:space="preserve"> </w:t>
            </w:r>
          </w:p>
          <w:p w:rsidR="00E5433B" w:rsidRPr="009169DA" w:rsidRDefault="003573BD" w:rsidP="00E5433B">
            <w:pPr>
              <w:pStyle w:val="ListParagraph"/>
              <w:numPr>
                <w:ilvl w:val="0"/>
                <w:numId w:val="38"/>
              </w:numPr>
              <w:ind w:left="0" w:firstLine="0"/>
            </w:pPr>
            <w:r w:rsidRPr="009169DA">
              <w:rPr>
                <w:b/>
              </w:rPr>
              <w:t xml:space="preserve">Agree </w:t>
            </w:r>
            <w:r w:rsidRPr="009169DA">
              <w:t xml:space="preserve">that </w:t>
            </w:r>
            <w:r w:rsidR="00E5433B" w:rsidRPr="009169DA">
              <w:t xml:space="preserve">Wolvercote &amp; Botley </w:t>
            </w:r>
            <w:r w:rsidRPr="009169DA">
              <w:t>will be</w:t>
            </w:r>
            <w:r w:rsidR="00E5433B" w:rsidRPr="009169DA">
              <w:t xml:space="preserve"> the first cemeteries where reclaimed graves </w:t>
            </w:r>
            <w:r w:rsidRPr="009169DA">
              <w:t>will be</w:t>
            </w:r>
            <w:r w:rsidR="00E5433B" w:rsidRPr="009169DA">
              <w:t xml:space="preserve"> made available. </w:t>
            </w:r>
            <w:r w:rsidR="008033AA" w:rsidRPr="009169DA">
              <w:t>(</w:t>
            </w:r>
            <w:r w:rsidR="00E5433B" w:rsidRPr="009169DA">
              <w:t>Botley is still open to new burials and Wolvercote has only recently closed to new burials.</w:t>
            </w:r>
            <w:r w:rsidR="008033AA" w:rsidRPr="009169DA">
              <w:t>)</w:t>
            </w:r>
            <w:r w:rsidR="00B85304" w:rsidRPr="009169DA">
              <w:t>;</w:t>
            </w:r>
          </w:p>
          <w:p w:rsidR="00E5433B" w:rsidRPr="009169DA" w:rsidRDefault="003573BD" w:rsidP="00E5433B">
            <w:pPr>
              <w:pStyle w:val="ListParagraph"/>
              <w:numPr>
                <w:ilvl w:val="0"/>
                <w:numId w:val="38"/>
              </w:numPr>
              <w:ind w:left="0" w:firstLine="0"/>
            </w:pPr>
            <w:r w:rsidRPr="009169DA">
              <w:rPr>
                <w:b/>
              </w:rPr>
              <w:t xml:space="preserve">Agree </w:t>
            </w:r>
            <w:r w:rsidRPr="009169DA">
              <w:t>that g</w:t>
            </w:r>
            <w:r w:rsidR="00E5433B" w:rsidRPr="009169DA">
              <w:t xml:space="preserve">raves </w:t>
            </w:r>
            <w:r w:rsidR="00F73189" w:rsidRPr="009169DA">
              <w:t xml:space="preserve">available through </w:t>
            </w:r>
            <w:r w:rsidR="00E5433B" w:rsidRPr="009169DA">
              <w:t xml:space="preserve">grave reclamation would only be </w:t>
            </w:r>
            <w:r w:rsidRPr="009169DA">
              <w:t xml:space="preserve">made </w:t>
            </w:r>
            <w:r w:rsidR="00E5433B" w:rsidRPr="009169DA">
              <w:t>available to Oxford City residents</w:t>
            </w:r>
            <w:r w:rsidR="009169DA" w:rsidRPr="009169DA">
              <w:t xml:space="preserve"> (r</w:t>
            </w:r>
            <w:r w:rsidR="001A2034" w:rsidRPr="009169DA">
              <w:t>esidents would be classed as people paying Coun</w:t>
            </w:r>
            <w:r w:rsidR="00B85304" w:rsidRPr="009169DA">
              <w:t>cil tax to Oxford City Council);</w:t>
            </w:r>
          </w:p>
          <w:p w:rsidR="00E5433B" w:rsidRPr="009169DA" w:rsidRDefault="003573BD" w:rsidP="00E5433B">
            <w:pPr>
              <w:pStyle w:val="ListParagraph"/>
              <w:numPr>
                <w:ilvl w:val="0"/>
                <w:numId w:val="38"/>
              </w:numPr>
              <w:ind w:left="0" w:firstLine="0"/>
            </w:pPr>
            <w:r w:rsidRPr="009169DA">
              <w:rPr>
                <w:b/>
              </w:rPr>
              <w:t>Agree</w:t>
            </w:r>
            <w:r w:rsidRPr="009169DA">
              <w:t xml:space="preserve"> that g</w:t>
            </w:r>
            <w:r w:rsidR="00E5433B" w:rsidRPr="009169DA">
              <w:t>raves where the deeds have never been purchased and have interments</w:t>
            </w:r>
            <w:r w:rsidR="00481BC5" w:rsidRPr="009169DA">
              <w:t xml:space="preserve"> (commonly known as unpurchased graves)</w:t>
            </w:r>
            <w:r w:rsidR="00E5433B" w:rsidRPr="009169DA">
              <w:t xml:space="preserve"> </w:t>
            </w:r>
            <w:r w:rsidRPr="009169DA">
              <w:t>may be</w:t>
            </w:r>
            <w:r w:rsidR="00B85304" w:rsidRPr="009169DA">
              <w:t xml:space="preserve"> sold at a lower cost; and</w:t>
            </w:r>
          </w:p>
          <w:p w:rsidR="00E1775D" w:rsidRPr="009169DA" w:rsidRDefault="00E1775D" w:rsidP="0045774C">
            <w:pPr>
              <w:pStyle w:val="ListParagraph"/>
              <w:numPr>
                <w:ilvl w:val="0"/>
                <w:numId w:val="38"/>
              </w:numPr>
              <w:ind w:left="0" w:firstLine="0"/>
            </w:pPr>
            <w:r w:rsidRPr="009169DA">
              <w:rPr>
                <w:b/>
              </w:rPr>
              <w:t xml:space="preserve">Agree </w:t>
            </w:r>
            <w:r w:rsidRPr="009169DA">
              <w:t xml:space="preserve">to delegate to </w:t>
            </w:r>
            <w:r w:rsidR="0045774C" w:rsidRPr="009169DA">
              <w:t>the Head of Community Services</w:t>
            </w:r>
            <w:r w:rsidRPr="009169DA">
              <w:t xml:space="preserve"> the ability to deal with the design and detail of the Scheme</w:t>
            </w:r>
            <w:bookmarkEnd w:id="0"/>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418"/>
      </w:tblGrid>
      <w:tr w:rsidR="00966D42" w:rsidRPr="00975B07" w:rsidTr="00481BC5">
        <w:trPr>
          <w:trHeight w:val="277"/>
        </w:trPr>
        <w:tc>
          <w:tcPr>
            <w:tcW w:w="886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85304">
        <w:trPr>
          <w:trHeight w:val="277"/>
        </w:trPr>
        <w:tc>
          <w:tcPr>
            <w:tcW w:w="2442" w:type="dxa"/>
            <w:tcBorders>
              <w:top w:val="single" w:sz="8" w:space="0" w:color="000000"/>
              <w:left w:val="single" w:sz="8" w:space="0" w:color="000000"/>
              <w:bottom w:val="nil"/>
              <w:right w:val="nil"/>
            </w:tcBorders>
            <w:shd w:val="clear" w:color="auto" w:fill="auto"/>
          </w:tcPr>
          <w:p w:rsidR="00ED5860" w:rsidRPr="00175679" w:rsidRDefault="00ED5860" w:rsidP="004A6D2F">
            <w:pPr>
              <w:rPr>
                <w:sz w:val="22"/>
                <w:szCs w:val="22"/>
              </w:rPr>
            </w:pPr>
            <w:r w:rsidRPr="00175679">
              <w:rPr>
                <w:sz w:val="22"/>
                <w:szCs w:val="22"/>
              </w:rPr>
              <w:t>Appendix 1</w:t>
            </w:r>
          </w:p>
        </w:tc>
        <w:tc>
          <w:tcPr>
            <w:tcW w:w="6418" w:type="dxa"/>
            <w:tcBorders>
              <w:top w:val="single" w:sz="8" w:space="0" w:color="000000"/>
              <w:left w:val="nil"/>
              <w:bottom w:val="nil"/>
              <w:right w:val="single" w:sz="8" w:space="0" w:color="000000"/>
            </w:tcBorders>
          </w:tcPr>
          <w:p w:rsidR="00ED5860" w:rsidRPr="00175679" w:rsidRDefault="00CA400C" w:rsidP="004A6D2F">
            <w:pPr>
              <w:rPr>
                <w:sz w:val="22"/>
                <w:szCs w:val="22"/>
              </w:rPr>
            </w:pPr>
            <w:r>
              <w:rPr>
                <w:sz w:val="22"/>
                <w:szCs w:val="22"/>
              </w:rPr>
              <w:t>Cemetery Project Summary</w:t>
            </w:r>
          </w:p>
        </w:tc>
      </w:tr>
      <w:tr w:rsidR="00ED5860" w:rsidRPr="00975B07" w:rsidTr="00B85304">
        <w:trPr>
          <w:trHeight w:val="277"/>
        </w:trPr>
        <w:tc>
          <w:tcPr>
            <w:tcW w:w="2442" w:type="dxa"/>
            <w:tcBorders>
              <w:top w:val="nil"/>
              <w:left w:val="single" w:sz="8" w:space="0" w:color="000000"/>
              <w:bottom w:val="single" w:sz="4" w:space="0" w:color="auto"/>
              <w:right w:val="nil"/>
            </w:tcBorders>
            <w:shd w:val="clear" w:color="auto" w:fill="auto"/>
          </w:tcPr>
          <w:p w:rsidR="00ED5860" w:rsidRPr="00175679" w:rsidRDefault="0030208D" w:rsidP="004A6D2F">
            <w:pPr>
              <w:rPr>
                <w:sz w:val="22"/>
                <w:szCs w:val="22"/>
              </w:rPr>
            </w:pPr>
            <w:r w:rsidRPr="00175679">
              <w:rPr>
                <w:sz w:val="22"/>
                <w:szCs w:val="22"/>
              </w:rPr>
              <w:t>Appendix 2</w:t>
            </w:r>
          </w:p>
        </w:tc>
        <w:tc>
          <w:tcPr>
            <w:tcW w:w="6418" w:type="dxa"/>
            <w:tcBorders>
              <w:top w:val="nil"/>
              <w:left w:val="nil"/>
              <w:bottom w:val="single" w:sz="4" w:space="0" w:color="auto"/>
              <w:right w:val="single" w:sz="8" w:space="0" w:color="000000"/>
            </w:tcBorders>
          </w:tcPr>
          <w:p w:rsidR="00ED5860" w:rsidRPr="00175679" w:rsidRDefault="00CA400C" w:rsidP="004A6D2F">
            <w:pPr>
              <w:rPr>
                <w:sz w:val="22"/>
                <w:szCs w:val="22"/>
              </w:rPr>
            </w:pPr>
            <w:r>
              <w:rPr>
                <w:sz w:val="22"/>
                <w:szCs w:val="22"/>
              </w:rPr>
              <w:t>Grave Reclamation</w:t>
            </w:r>
          </w:p>
        </w:tc>
      </w:tr>
    </w:tbl>
    <w:p w:rsidR="006477E6" w:rsidRDefault="006477E6" w:rsidP="00FD655C">
      <w:pPr>
        <w:pStyle w:val="Heading1"/>
      </w:pPr>
    </w:p>
    <w:p w:rsidR="00B616DC" w:rsidRDefault="00F66DCA" w:rsidP="00FD655C">
      <w:pPr>
        <w:pStyle w:val="Heading1"/>
      </w:pPr>
      <w:r w:rsidRPr="00E00A50">
        <w:t>Introduction and b</w:t>
      </w:r>
      <w:r w:rsidR="00151888" w:rsidRPr="00E00A50">
        <w:t>ackground</w:t>
      </w:r>
      <w:r w:rsidR="00404032" w:rsidRPr="00E00A50">
        <w:t xml:space="preserve"> </w:t>
      </w:r>
    </w:p>
    <w:p w:rsidR="006477E6" w:rsidRDefault="00F73189" w:rsidP="00EF486C">
      <w:pPr>
        <w:pStyle w:val="ListParagraph"/>
        <w:numPr>
          <w:ilvl w:val="0"/>
          <w:numId w:val="41"/>
        </w:numPr>
      </w:pPr>
      <w:r>
        <w:t>The Council’s</w:t>
      </w:r>
      <w:r w:rsidR="00B616DC">
        <w:t xml:space="preserve"> current estimate o</w:t>
      </w:r>
      <w:r w:rsidR="00253D16">
        <w:t xml:space="preserve">f </w:t>
      </w:r>
      <w:r w:rsidR="008033AA">
        <w:t xml:space="preserve">when </w:t>
      </w:r>
      <w:r w:rsidR="00253D16">
        <w:t xml:space="preserve">all cemeteries </w:t>
      </w:r>
      <w:r w:rsidR="008033AA">
        <w:t xml:space="preserve">will be </w:t>
      </w:r>
      <w:r w:rsidR="00356CDB">
        <w:t>closed to new graves is 2021</w:t>
      </w:r>
      <w:r w:rsidR="00253D16">
        <w:t xml:space="preserve">. </w:t>
      </w:r>
      <w:r w:rsidR="00356CDB">
        <w:t>Botley i</w:t>
      </w:r>
      <w:r w:rsidR="00253D16">
        <w:t xml:space="preserve">s the only </w:t>
      </w:r>
      <w:r w:rsidR="008033AA">
        <w:t xml:space="preserve">one of our four </w:t>
      </w:r>
      <w:r w:rsidR="00253D16">
        <w:t>cemeter</w:t>
      </w:r>
      <w:r w:rsidR="008033AA">
        <w:t>ies</w:t>
      </w:r>
      <w:r w:rsidR="00253D16">
        <w:t xml:space="preserve"> available to new graves. </w:t>
      </w:r>
    </w:p>
    <w:p w:rsidR="00253D16" w:rsidRPr="00EF486C" w:rsidRDefault="00253D16" w:rsidP="00EF486C">
      <w:pPr>
        <w:pStyle w:val="ListParagraph"/>
        <w:numPr>
          <w:ilvl w:val="0"/>
          <w:numId w:val="41"/>
        </w:numPr>
        <w:rPr>
          <w:color w:val="FF0000"/>
        </w:rPr>
      </w:pPr>
      <w:r w:rsidRPr="00EF486C">
        <w:rPr>
          <w:color w:val="auto"/>
        </w:rPr>
        <w:t>With this in mind, the</w:t>
      </w:r>
      <w:r w:rsidR="004501DC" w:rsidRPr="00EF486C">
        <w:rPr>
          <w:color w:val="auto"/>
        </w:rPr>
        <w:t xml:space="preserve"> Oxford Direct Services </w:t>
      </w:r>
      <w:r w:rsidR="00F73189">
        <w:rPr>
          <w:color w:val="auto"/>
        </w:rPr>
        <w:t xml:space="preserve">Limited </w:t>
      </w:r>
      <w:r w:rsidR="004501DC" w:rsidRPr="00EF486C">
        <w:rPr>
          <w:color w:val="auto"/>
        </w:rPr>
        <w:t>(ODS</w:t>
      </w:r>
      <w:r w:rsidR="00F73189">
        <w:rPr>
          <w:color w:val="auto"/>
        </w:rPr>
        <w:t>L</w:t>
      </w:r>
      <w:r w:rsidR="004501DC" w:rsidRPr="00EF486C">
        <w:rPr>
          <w:color w:val="auto"/>
        </w:rPr>
        <w:t>)</w:t>
      </w:r>
      <w:r w:rsidRPr="00EF486C">
        <w:rPr>
          <w:color w:val="auto"/>
        </w:rPr>
        <w:t xml:space="preserve"> Cemeteries Service</w:t>
      </w:r>
      <w:r w:rsidR="004501DC" w:rsidRPr="00EF486C">
        <w:rPr>
          <w:color w:val="auto"/>
        </w:rPr>
        <w:t xml:space="preserve"> </w:t>
      </w:r>
      <w:r w:rsidRPr="00EF486C">
        <w:rPr>
          <w:color w:val="auto"/>
        </w:rPr>
        <w:t>has</w:t>
      </w:r>
      <w:r w:rsidR="00663B1C" w:rsidRPr="00EF486C">
        <w:rPr>
          <w:color w:val="auto"/>
        </w:rPr>
        <w:t xml:space="preserve"> been looking at ways </w:t>
      </w:r>
      <w:r w:rsidRPr="00EF486C">
        <w:rPr>
          <w:color w:val="auto"/>
        </w:rPr>
        <w:t xml:space="preserve">in which </w:t>
      </w:r>
      <w:r w:rsidR="00663B1C" w:rsidRPr="00EF486C">
        <w:rPr>
          <w:color w:val="auto"/>
        </w:rPr>
        <w:t>a burial option</w:t>
      </w:r>
      <w:r w:rsidRPr="00EF486C">
        <w:rPr>
          <w:color w:val="auto"/>
        </w:rPr>
        <w:t xml:space="preserve"> could be provided</w:t>
      </w:r>
      <w:r w:rsidR="00A2619C" w:rsidRPr="00EF486C">
        <w:rPr>
          <w:color w:val="auto"/>
        </w:rPr>
        <w:t xml:space="preserve"> taking into consideration the sensitivities of the </w:t>
      </w:r>
      <w:r w:rsidR="00167445" w:rsidRPr="00EF486C">
        <w:rPr>
          <w:color w:val="auto"/>
        </w:rPr>
        <w:t>issue, without</w:t>
      </w:r>
      <w:r w:rsidR="00663B1C" w:rsidRPr="00EF486C">
        <w:rPr>
          <w:color w:val="auto"/>
        </w:rPr>
        <w:t xml:space="preserve"> altering the current aesthetics of the four </w:t>
      </w:r>
      <w:r w:rsidR="00A2619C" w:rsidRPr="00EF486C">
        <w:rPr>
          <w:color w:val="auto"/>
        </w:rPr>
        <w:t>cemeteries.</w:t>
      </w:r>
      <w:r w:rsidR="00690C3D" w:rsidRPr="00EF486C">
        <w:rPr>
          <w:color w:val="auto"/>
        </w:rPr>
        <w:t xml:space="preserve"> </w:t>
      </w:r>
      <w:r w:rsidR="00663B1C" w:rsidRPr="00EF486C">
        <w:rPr>
          <w:color w:val="auto"/>
        </w:rPr>
        <w:t xml:space="preserve">Over the past few months </w:t>
      </w:r>
      <w:r w:rsidR="00F73189">
        <w:rPr>
          <w:color w:val="auto"/>
        </w:rPr>
        <w:t>the Council</w:t>
      </w:r>
      <w:r w:rsidR="00663B1C" w:rsidRPr="00EF486C">
        <w:rPr>
          <w:color w:val="auto"/>
        </w:rPr>
        <w:t xml:space="preserve"> ha</w:t>
      </w:r>
      <w:r w:rsidR="00F73189">
        <w:rPr>
          <w:color w:val="auto"/>
        </w:rPr>
        <w:t>s</w:t>
      </w:r>
      <w:r w:rsidR="00663B1C" w:rsidRPr="00EF486C">
        <w:rPr>
          <w:color w:val="auto"/>
        </w:rPr>
        <w:t xml:space="preserve"> looked into th</w:t>
      </w:r>
      <w:r w:rsidR="00356CDB" w:rsidRPr="00EF486C">
        <w:rPr>
          <w:color w:val="auto"/>
        </w:rPr>
        <w:t>e process of grave reclamation.</w:t>
      </w:r>
      <w:r w:rsidR="00CC289B" w:rsidRPr="00EF486C">
        <w:rPr>
          <w:color w:val="auto"/>
        </w:rPr>
        <w:t xml:space="preserve"> This scheme could potentially provide burial space for an additional two years</w:t>
      </w:r>
      <w:r w:rsidR="00A26419">
        <w:rPr>
          <w:color w:val="auto"/>
        </w:rPr>
        <w:t xml:space="preserve"> until</w:t>
      </w:r>
      <w:r w:rsidR="00665C79">
        <w:rPr>
          <w:color w:val="auto"/>
        </w:rPr>
        <w:t xml:space="preserve"> </w:t>
      </w:r>
      <w:r w:rsidR="00CC289B" w:rsidRPr="00EF486C">
        <w:rPr>
          <w:color w:val="auto"/>
        </w:rPr>
        <w:t xml:space="preserve">2023. </w:t>
      </w:r>
    </w:p>
    <w:p w:rsidR="001C3D96" w:rsidRPr="00EF486C" w:rsidRDefault="001C3D96" w:rsidP="00EF486C">
      <w:pPr>
        <w:pStyle w:val="ListParagraph"/>
        <w:numPr>
          <w:ilvl w:val="0"/>
          <w:numId w:val="41"/>
        </w:numPr>
        <w:rPr>
          <w:color w:val="auto"/>
        </w:rPr>
      </w:pPr>
      <w:r w:rsidRPr="00EF486C">
        <w:rPr>
          <w:color w:val="auto"/>
        </w:rPr>
        <w:t>Grave Reclamation is the process of using the free space within graves. There are two types of grave which fall in to this category:</w:t>
      </w:r>
    </w:p>
    <w:p w:rsidR="001C3D96" w:rsidRPr="00EF486C" w:rsidRDefault="001C3D96" w:rsidP="00F968B3">
      <w:pPr>
        <w:pStyle w:val="ListParagraph"/>
        <w:numPr>
          <w:ilvl w:val="0"/>
          <w:numId w:val="44"/>
        </w:numPr>
        <w:rPr>
          <w:color w:val="auto"/>
        </w:rPr>
      </w:pPr>
      <w:r w:rsidRPr="00EF486C">
        <w:rPr>
          <w:color w:val="auto"/>
        </w:rPr>
        <w:t xml:space="preserve">Graves where burial rights have been purchased but no burial has taken place so the grave stands empty. These graves can be reclaimed if they were purchased pre 1974 and have not been </w:t>
      </w:r>
      <w:r w:rsidR="006E5569" w:rsidRPr="00EF486C">
        <w:rPr>
          <w:color w:val="auto"/>
        </w:rPr>
        <w:t>used after</w:t>
      </w:r>
      <w:r w:rsidRPr="00EF486C">
        <w:rPr>
          <w:color w:val="auto"/>
        </w:rPr>
        <w:t xml:space="preserve"> 75 years</w:t>
      </w:r>
      <w:r w:rsidR="00A26419">
        <w:rPr>
          <w:color w:val="auto"/>
        </w:rPr>
        <w:t xml:space="preserve"> since the purchase date</w:t>
      </w:r>
      <w:r w:rsidRPr="00EF486C">
        <w:rPr>
          <w:color w:val="auto"/>
        </w:rPr>
        <w:t>.</w:t>
      </w:r>
    </w:p>
    <w:p w:rsidR="00690C3D" w:rsidRPr="00EF486C" w:rsidRDefault="001C3D96" w:rsidP="00F968B3">
      <w:pPr>
        <w:pStyle w:val="ListParagraph"/>
        <w:numPr>
          <w:ilvl w:val="0"/>
          <w:numId w:val="44"/>
        </w:numPr>
        <w:spacing w:after="0"/>
        <w:rPr>
          <w:rFonts w:eastAsiaTheme="minorHAnsi" w:cs="Arial"/>
          <w:color w:val="auto"/>
          <w:szCs w:val="22"/>
          <w:lang w:eastAsia="en-US"/>
        </w:rPr>
      </w:pPr>
      <w:r w:rsidRPr="00EF486C">
        <w:rPr>
          <w:color w:val="auto"/>
        </w:rPr>
        <w:t xml:space="preserve">Graves where interments have taken place but the burial rights have never been purchased (unpurchased graves) so the Council has the right to re-bury in the grave. </w:t>
      </w:r>
      <w:r w:rsidR="00690C3D" w:rsidRPr="00EF486C">
        <w:rPr>
          <w:rFonts w:eastAsiaTheme="minorHAnsi" w:cs="Arial"/>
          <w:color w:val="auto"/>
          <w:szCs w:val="22"/>
          <w:lang w:eastAsia="en-US"/>
        </w:rPr>
        <w:t xml:space="preserve">It is important to note that this does not disturb human remains – as would be the case with grave re-use. The grave is re-opened to the deepest available depth leaving the legal requirement of 6” of soil between the last interment and the new interment. </w:t>
      </w:r>
    </w:p>
    <w:p w:rsidR="001C3D96" w:rsidRPr="001C3D96" w:rsidRDefault="001C3D96" w:rsidP="001C3D96">
      <w:pPr>
        <w:rPr>
          <w:color w:val="auto"/>
        </w:rPr>
      </w:pPr>
    </w:p>
    <w:p w:rsidR="001C3D96" w:rsidRPr="00EF486C" w:rsidRDefault="00665C79" w:rsidP="00EF486C">
      <w:pPr>
        <w:pStyle w:val="ListParagraph"/>
        <w:numPr>
          <w:ilvl w:val="0"/>
          <w:numId w:val="41"/>
        </w:numPr>
        <w:rPr>
          <w:color w:val="auto"/>
        </w:rPr>
      </w:pPr>
      <w:r w:rsidRPr="00EF486C">
        <w:rPr>
          <w:color w:val="auto"/>
        </w:rPr>
        <w:t>Th</w:t>
      </w:r>
      <w:r>
        <w:rPr>
          <w:color w:val="auto"/>
        </w:rPr>
        <w:t xml:space="preserve">ese </w:t>
      </w:r>
      <w:r w:rsidRPr="00EF486C">
        <w:rPr>
          <w:color w:val="auto"/>
        </w:rPr>
        <w:t>practices have been legally allowed since 1977 and are</w:t>
      </w:r>
      <w:r w:rsidR="001C3D96" w:rsidRPr="00EF486C">
        <w:rPr>
          <w:color w:val="auto"/>
        </w:rPr>
        <w:t xml:space="preserve"> outlined in the 1977 Local Authorities Cemeteries Order (LACO).   Appendix (2) illustrates the process of identifying graves available to be reclaimed.</w:t>
      </w:r>
    </w:p>
    <w:p w:rsidR="00034331" w:rsidRPr="00F968B3" w:rsidRDefault="00663B1C" w:rsidP="008165BC">
      <w:pPr>
        <w:pStyle w:val="ListParagraph"/>
        <w:numPr>
          <w:ilvl w:val="0"/>
          <w:numId w:val="41"/>
        </w:numPr>
        <w:rPr>
          <w:color w:val="auto"/>
        </w:rPr>
      </w:pPr>
      <w:r w:rsidRPr="00EF486C">
        <w:rPr>
          <w:color w:val="auto"/>
        </w:rPr>
        <w:t xml:space="preserve">There is an urgency to start this process so the public can be informed and the concept has an opportunity to embed before the cemeteries run out of </w:t>
      </w:r>
      <w:r w:rsidR="00C07C30" w:rsidRPr="00EF486C">
        <w:rPr>
          <w:color w:val="auto"/>
        </w:rPr>
        <w:t>space. By</w:t>
      </w:r>
      <w:r w:rsidR="00167445" w:rsidRPr="00EF486C">
        <w:rPr>
          <w:color w:val="auto"/>
        </w:rPr>
        <w:t xml:space="preserve"> starting the scheme as soon as possible </w:t>
      </w:r>
      <w:r w:rsidR="00A26419">
        <w:rPr>
          <w:color w:val="auto"/>
        </w:rPr>
        <w:t>the Council is</w:t>
      </w:r>
      <w:r w:rsidR="00167445" w:rsidRPr="00EF486C">
        <w:rPr>
          <w:color w:val="auto"/>
        </w:rPr>
        <w:t xml:space="preserve"> still able to offer new graves to residents that would never opt for a reclaimed grave. </w:t>
      </w:r>
      <w:r w:rsidR="008A42B7" w:rsidRPr="00EF486C">
        <w:rPr>
          <w:color w:val="auto"/>
        </w:rPr>
        <w:t xml:space="preserve">The Reclamation scheme is expected to extend </w:t>
      </w:r>
      <w:r w:rsidRPr="00EF486C">
        <w:rPr>
          <w:color w:val="auto"/>
        </w:rPr>
        <w:t xml:space="preserve">the </w:t>
      </w:r>
      <w:r w:rsidR="008A42B7" w:rsidRPr="00EF486C">
        <w:rPr>
          <w:color w:val="auto"/>
        </w:rPr>
        <w:t>operation</w:t>
      </w:r>
      <w:r w:rsidRPr="00EF486C">
        <w:rPr>
          <w:color w:val="auto"/>
        </w:rPr>
        <w:t xml:space="preserve"> of the current cemeteries </w:t>
      </w:r>
      <w:r w:rsidR="008A42B7" w:rsidRPr="00EF486C">
        <w:rPr>
          <w:color w:val="auto"/>
        </w:rPr>
        <w:t>by around two years, by</w:t>
      </w:r>
      <w:r w:rsidRPr="00EF486C">
        <w:rPr>
          <w:color w:val="auto"/>
        </w:rPr>
        <w:t xml:space="preserve"> maximising their use.</w:t>
      </w:r>
      <w:r w:rsidR="008A42B7" w:rsidRPr="00EF486C">
        <w:rPr>
          <w:color w:val="auto"/>
        </w:rPr>
        <w:t xml:space="preserve"> In parallel, work will continue </w:t>
      </w:r>
      <w:r w:rsidR="00B1478E">
        <w:rPr>
          <w:color w:val="auto"/>
        </w:rPr>
        <w:t>on identifying</w:t>
      </w:r>
      <w:r w:rsidR="008A42B7" w:rsidRPr="00EF486C">
        <w:rPr>
          <w:color w:val="auto"/>
        </w:rPr>
        <w:t xml:space="preserve"> new burial sites </w:t>
      </w:r>
      <w:r w:rsidR="00B1478E">
        <w:rPr>
          <w:color w:val="auto"/>
        </w:rPr>
        <w:t>for Oxford</w:t>
      </w:r>
      <w:r w:rsidR="00C36BBB" w:rsidRPr="00EF486C">
        <w:rPr>
          <w:color w:val="auto"/>
        </w:rPr>
        <w:t>, which will still be required in the medium to longer term</w:t>
      </w:r>
      <w:r w:rsidR="008A42B7" w:rsidRPr="00EF486C">
        <w:rPr>
          <w:color w:val="auto"/>
        </w:rPr>
        <w:t>.</w:t>
      </w:r>
    </w:p>
    <w:p w:rsidR="00E87F7A" w:rsidRDefault="00E87F7A" w:rsidP="00E87F7A">
      <w:pPr>
        <w:spacing w:before="240"/>
        <w:outlineLvl w:val="0"/>
        <w:rPr>
          <w:b/>
        </w:rPr>
      </w:pPr>
      <w:r w:rsidRPr="001356F1">
        <w:rPr>
          <w:b/>
        </w:rPr>
        <w:t xml:space="preserve">Other implications </w:t>
      </w:r>
    </w:p>
    <w:p w:rsidR="002D746D" w:rsidRPr="00E60808" w:rsidRDefault="00C85B4E" w:rsidP="00034331">
      <w:pPr>
        <w:pStyle w:val="Bulletpoints"/>
        <w:numPr>
          <w:ilvl w:val="0"/>
          <w:numId w:val="0"/>
        </w:numPr>
        <w:rPr>
          <w:i/>
          <w:color w:val="auto"/>
        </w:rPr>
      </w:pPr>
      <w:r w:rsidRPr="00E60808">
        <w:rPr>
          <w:i/>
          <w:color w:val="auto"/>
        </w:rPr>
        <w:t>C</w:t>
      </w:r>
      <w:r w:rsidR="00E87F7A" w:rsidRPr="00E60808">
        <w:rPr>
          <w:i/>
          <w:color w:val="auto"/>
        </w:rPr>
        <w:t xml:space="preserve">onsultation and communications </w:t>
      </w:r>
    </w:p>
    <w:p w:rsidR="00487056" w:rsidRPr="0080758B" w:rsidRDefault="00210308" w:rsidP="00EF486C">
      <w:pPr>
        <w:pStyle w:val="Bulletpoints"/>
        <w:numPr>
          <w:ilvl w:val="0"/>
          <w:numId w:val="41"/>
        </w:numPr>
        <w:rPr>
          <w:color w:val="auto"/>
        </w:rPr>
      </w:pPr>
      <w:r>
        <w:rPr>
          <w:color w:val="auto"/>
        </w:rPr>
        <w:t>A</w:t>
      </w:r>
      <w:r w:rsidR="00CB6F15">
        <w:rPr>
          <w:color w:val="auto"/>
        </w:rPr>
        <w:t xml:space="preserve"> number of local authorities have been consulted that already carry out the process.</w:t>
      </w:r>
      <w:r w:rsidR="00487056">
        <w:rPr>
          <w:color w:val="auto"/>
        </w:rPr>
        <w:t xml:space="preserve"> Bournemouth Borough Council </w:t>
      </w:r>
      <w:r w:rsidR="0080758B">
        <w:rPr>
          <w:color w:val="auto"/>
        </w:rPr>
        <w:t xml:space="preserve">has been carrying out grave </w:t>
      </w:r>
      <w:r w:rsidR="00487056">
        <w:t xml:space="preserve">reclamation for over 50 years. </w:t>
      </w:r>
      <w:r w:rsidR="0080758B">
        <w:t>Two councils that have recently started grave reclamation</w:t>
      </w:r>
      <w:r>
        <w:t xml:space="preserve"> </w:t>
      </w:r>
      <w:r w:rsidRPr="00210308">
        <w:t xml:space="preserve">(within the last 5 years) </w:t>
      </w:r>
      <w:r w:rsidR="0054252F">
        <w:t xml:space="preserve">are </w:t>
      </w:r>
      <w:r>
        <w:t>Wandsworth</w:t>
      </w:r>
      <w:r w:rsidR="0080758B">
        <w:t xml:space="preserve"> and Croydon.</w:t>
      </w:r>
      <w:r w:rsidR="00487056">
        <w:t xml:space="preserve"> </w:t>
      </w:r>
      <w:r w:rsidR="0080758B">
        <w:t xml:space="preserve">They both </w:t>
      </w:r>
      <w:r w:rsidR="008A42B7">
        <w:t xml:space="preserve">found </w:t>
      </w:r>
      <w:r w:rsidR="0080758B">
        <w:t xml:space="preserve">the key part of the success of introducing grave reclamation was communication. </w:t>
      </w:r>
    </w:p>
    <w:p w:rsidR="00710628" w:rsidRPr="00EF486C" w:rsidRDefault="00A26419" w:rsidP="00EF486C">
      <w:pPr>
        <w:pStyle w:val="ListParagraph"/>
        <w:numPr>
          <w:ilvl w:val="0"/>
          <w:numId w:val="41"/>
        </w:numPr>
        <w:rPr>
          <w:color w:val="auto"/>
        </w:rPr>
      </w:pPr>
      <w:r>
        <w:rPr>
          <w:color w:val="auto"/>
        </w:rPr>
        <w:t>The Council</w:t>
      </w:r>
      <w:r w:rsidR="004E7749" w:rsidRPr="00EF486C">
        <w:rPr>
          <w:color w:val="auto"/>
        </w:rPr>
        <w:t xml:space="preserve"> would </w:t>
      </w:r>
      <w:r w:rsidR="001C3D96" w:rsidRPr="00EF486C">
        <w:rPr>
          <w:color w:val="auto"/>
        </w:rPr>
        <w:t xml:space="preserve">undertake </w:t>
      </w:r>
      <w:r>
        <w:rPr>
          <w:color w:val="auto"/>
        </w:rPr>
        <w:t xml:space="preserve">the </w:t>
      </w:r>
      <w:r w:rsidR="001C3D96" w:rsidRPr="00EF486C">
        <w:rPr>
          <w:color w:val="auto"/>
        </w:rPr>
        <w:t>grave reclamation</w:t>
      </w:r>
      <w:r w:rsidR="0082617A" w:rsidRPr="00EF486C">
        <w:rPr>
          <w:color w:val="auto"/>
        </w:rPr>
        <w:t xml:space="preserve"> scheme</w:t>
      </w:r>
      <w:r w:rsidR="004E7749" w:rsidRPr="00EF486C">
        <w:rPr>
          <w:color w:val="auto"/>
        </w:rPr>
        <w:t xml:space="preserve"> in two phases</w:t>
      </w:r>
      <w:r w:rsidR="006477E6" w:rsidRPr="00EF486C">
        <w:rPr>
          <w:color w:val="auto"/>
        </w:rPr>
        <w:t xml:space="preserve">. </w:t>
      </w:r>
      <w:r w:rsidR="00175679" w:rsidRPr="00EF486C">
        <w:rPr>
          <w:color w:val="auto"/>
        </w:rPr>
        <w:t>A</w:t>
      </w:r>
      <w:r w:rsidR="002B2D94" w:rsidRPr="00EF486C">
        <w:rPr>
          <w:color w:val="auto"/>
        </w:rPr>
        <w:t xml:space="preserve">s </w:t>
      </w:r>
      <w:r w:rsidR="00C36BBB" w:rsidRPr="00EF486C">
        <w:rPr>
          <w:color w:val="auto"/>
        </w:rPr>
        <w:t xml:space="preserve">it is simpler to communicate and less likely to lead to </w:t>
      </w:r>
      <w:r w:rsidR="00175679" w:rsidRPr="00EF486C">
        <w:rPr>
          <w:color w:val="auto"/>
        </w:rPr>
        <w:t>confusion</w:t>
      </w:r>
      <w:r w:rsidR="00C36BBB" w:rsidRPr="00EF486C">
        <w:rPr>
          <w:color w:val="auto"/>
        </w:rPr>
        <w:t>,</w:t>
      </w:r>
      <w:r w:rsidR="002B2D94" w:rsidRPr="00EF486C">
        <w:rPr>
          <w:color w:val="auto"/>
        </w:rPr>
        <w:t xml:space="preserve"> the </w:t>
      </w:r>
      <w:r w:rsidR="00B1478E">
        <w:rPr>
          <w:color w:val="auto"/>
        </w:rPr>
        <w:t xml:space="preserve">initial focus will </w:t>
      </w:r>
      <w:r w:rsidR="00B1478E">
        <w:rPr>
          <w:color w:val="auto"/>
        </w:rPr>
        <w:lastRenderedPageBreak/>
        <w:t>be on</w:t>
      </w:r>
      <w:r w:rsidR="002B2D94" w:rsidRPr="00EF486C">
        <w:rPr>
          <w:color w:val="auto"/>
        </w:rPr>
        <w:t xml:space="preserve"> reclaimed graves where burial rights have </w:t>
      </w:r>
      <w:r w:rsidR="00E60808" w:rsidRPr="00EF486C">
        <w:rPr>
          <w:color w:val="auto"/>
        </w:rPr>
        <w:t>expired</w:t>
      </w:r>
      <w:r w:rsidR="00D4047E">
        <w:rPr>
          <w:color w:val="auto"/>
        </w:rPr>
        <w:t>, and no burial has taken place</w:t>
      </w:r>
      <w:r w:rsidR="001C3D96" w:rsidRPr="00EF486C">
        <w:rPr>
          <w:color w:val="auto"/>
        </w:rPr>
        <w:t xml:space="preserve">. </w:t>
      </w:r>
      <w:r w:rsidR="00B1478E">
        <w:rPr>
          <w:color w:val="auto"/>
        </w:rPr>
        <w:t>The process is outlined in Appendix 2.</w:t>
      </w:r>
    </w:p>
    <w:p w:rsidR="00B40971" w:rsidRPr="00EF486C" w:rsidRDefault="00B1478E" w:rsidP="00EF486C">
      <w:pPr>
        <w:pStyle w:val="ListParagraph"/>
        <w:numPr>
          <w:ilvl w:val="0"/>
          <w:numId w:val="41"/>
        </w:numPr>
        <w:rPr>
          <w:color w:val="auto"/>
        </w:rPr>
      </w:pPr>
      <w:r>
        <w:rPr>
          <w:color w:val="auto"/>
        </w:rPr>
        <w:t xml:space="preserve">The </w:t>
      </w:r>
      <w:r w:rsidR="00B40971" w:rsidRPr="00EF486C">
        <w:rPr>
          <w:color w:val="auto"/>
        </w:rPr>
        <w:t>second phase of selling unpurchased graves</w:t>
      </w:r>
      <w:r w:rsidR="0054252F" w:rsidRPr="00EF486C">
        <w:rPr>
          <w:color w:val="auto"/>
        </w:rPr>
        <w:t xml:space="preserve"> (where burials ha</w:t>
      </w:r>
      <w:r w:rsidR="00D4047E">
        <w:rPr>
          <w:color w:val="auto"/>
        </w:rPr>
        <w:t>ve</w:t>
      </w:r>
      <w:r w:rsidR="0054252F" w:rsidRPr="00EF486C">
        <w:rPr>
          <w:color w:val="auto"/>
        </w:rPr>
        <w:t xml:space="preserve"> already taken place)</w:t>
      </w:r>
      <w:r w:rsidR="00B40971" w:rsidRPr="00EF486C">
        <w:rPr>
          <w:color w:val="auto"/>
        </w:rPr>
        <w:t xml:space="preserve"> </w:t>
      </w:r>
      <w:r>
        <w:rPr>
          <w:color w:val="auto"/>
        </w:rPr>
        <w:t>would follow on</w:t>
      </w:r>
      <w:r w:rsidR="00B40971" w:rsidRPr="00EF486C">
        <w:rPr>
          <w:color w:val="auto"/>
        </w:rPr>
        <w:t xml:space="preserve">. </w:t>
      </w:r>
    </w:p>
    <w:p w:rsidR="00B40971" w:rsidRPr="00EF486C" w:rsidRDefault="00B40971" w:rsidP="001A2034">
      <w:pPr>
        <w:pStyle w:val="ListParagraph"/>
        <w:numPr>
          <w:ilvl w:val="0"/>
          <w:numId w:val="41"/>
        </w:numPr>
        <w:rPr>
          <w:color w:val="auto"/>
        </w:rPr>
      </w:pPr>
      <w:r w:rsidRPr="00EF486C">
        <w:rPr>
          <w:color w:val="auto"/>
        </w:rPr>
        <w:t xml:space="preserve">At both stages </w:t>
      </w:r>
      <w:r w:rsidR="00C36BBB" w:rsidRPr="00EF486C">
        <w:rPr>
          <w:color w:val="auto"/>
        </w:rPr>
        <w:t>comprehensive proactive communications</w:t>
      </w:r>
      <w:r w:rsidRPr="00EF486C">
        <w:rPr>
          <w:color w:val="auto"/>
        </w:rPr>
        <w:t xml:space="preserve"> would </w:t>
      </w:r>
      <w:r w:rsidR="00175679" w:rsidRPr="00EF486C">
        <w:rPr>
          <w:color w:val="auto"/>
        </w:rPr>
        <w:t xml:space="preserve">be </w:t>
      </w:r>
      <w:r w:rsidR="00EC3CEE" w:rsidRPr="00EF486C">
        <w:rPr>
          <w:color w:val="auto"/>
        </w:rPr>
        <w:t xml:space="preserve">needed. </w:t>
      </w:r>
      <w:r w:rsidRPr="00EF486C">
        <w:rPr>
          <w:color w:val="auto"/>
        </w:rPr>
        <w:t xml:space="preserve">In doing this </w:t>
      </w:r>
      <w:r w:rsidR="00A26419">
        <w:rPr>
          <w:color w:val="auto"/>
        </w:rPr>
        <w:t>the Council</w:t>
      </w:r>
      <w:r w:rsidRPr="00EF486C">
        <w:rPr>
          <w:color w:val="auto"/>
        </w:rPr>
        <w:t xml:space="preserve"> ha</w:t>
      </w:r>
      <w:r w:rsidR="00EB761F">
        <w:rPr>
          <w:color w:val="auto"/>
        </w:rPr>
        <w:t>s</w:t>
      </w:r>
      <w:r w:rsidRPr="00EF486C">
        <w:rPr>
          <w:color w:val="auto"/>
        </w:rPr>
        <w:t xml:space="preserve"> an opportunity to </w:t>
      </w:r>
      <w:r w:rsidR="00C36BBB" w:rsidRPr="00EF486C">
        <w:rPr>
          <w:color w:val="auto"/>
        </w:rPr>
        <w:t>assess</w:t>
      </w:r>
      <w:r w:rsidRPr="00EF486C">
        <w:rPr>
          <w:color w:val="auto"/>
        </w:rPr>
        <w:t xml:space="preserve"> the </w:t>
      </w:r>
      <w:r w:rsidR="00C36BBB" w:rsidRPr="00EF486C">
        <w:rPr>
          <w:color w:val="auto"/>
        </w:rPr>
        <w:t>level of public acceptance of the scheme</w:t>
      </w:r>
      <w:r w:rsidRPr="00EF486C">
        <w:rPr>
          <w:color w:val="auto"/>
        </w:rPr>
        <w:t>.</w:t>
      </w:r>
    </w:p>
    <w:p w:rsidR="00B40971" w:rsidRPr="00EF486C" w:rsidRDefault="00B1478E" w:rsidP="00EC3CEE">
      <w:pPr>
        <w:pStyle w:val="ListParagraph"/>
        <w:numPr>
          <w:ilvl w:val="0"/>
          <w:numId w:val="41"/>
        </w:numPr>
        <w:rPr>
          <w:color w:val="auto"/>
        </w:rPr>
      </w:pPr>
      <w:r>
        <w:rPr>
          <w:color w:val="auto"/>
        </w:rPr>
        <w:t xml:space="preserve">A key stakeholder is </w:t>
      </w:r>
      <w:r w:rsidR="001D0CCD">
        <w:rPr>
          <w:color w:val="auto"/>
        </w:rPr>
        <w:t>f</w:t>
      </w:r>
      <w:r w:rsidR="001D0CCD" w:rsidRPr="00EF486C">
        <w:rPr>
          <w:color w:val="auto"/>
        </w:rPr>
        <w:t xml:space="preserve">uneral </w:t>
      </w:r>
      <w:r w:rsidR="00175679" w:rsidRPr="00EF486C">
        <w:rPr>
          <w:color w:val="auto"/>
        </w:rPr>
        <w:t xml:space="preserve">directors </w:t>
      </w:r>
      <w:r>
        <w:rPr>
          <w:color w:val="auto"/>
        </w:rPr>
        <w:t>as</w:t>
      </w:r>
      <w:r w:rsidR="00632775" w:rsidRPr="00EF486C">
        <w:rPr>
          <w:color w:val="auto"/>
        </w:rPr>
        <w:t xml:space="preserve"> the main contact with </w:t>
      </w:r>
      <w:r w:rsidR="00EC3CEE" w:rsidRPr="00EF486C">
        <w:rPr>
          <w:color w:val="auto"/>
        </w:rPr>
        <w:t>families</w:t>
      </w:r>
      <w:r w:rsidR="00EC3CEE">
        <w:rPr>
          <w:color w:val="auto"/>
        </w:rPr>
        <w:t>;</w:t>
      </w:r>
      <w:r w:rsidR="00632775" w:rsidRPr="00EF486C">
        <w:rPr>
          <w:color w:val="auto"/>
        </w:rPr>
        <w:t xml:space="preserve"> the success of both parts of the project would </w:t>
      </w:r>
      <w:r w:rsidR="00A26419">
        <w:rPr>
          <w:color w:val="auto"/>
        </w:rPr>
        <w:t>depend on their approach</w:t>
      </w:r>
      <w:r w:rsidR="009169DA">
        <w:rPr>
          <w:color w:val="auto"/>
        </w:rPr>
        <w:t>.</w:t>
      </w:r>
      <w:r w:rsidR="00D4047E">
        <w:rPr>
          <w:color w:val="auto"/>
        </w:rPr>
        <w:t xml:space="preserve"> A thorough briefing of all the city’s funeral directors will be undertaken.</w:t>
      </w:r>
      <w:r w:rsidR="00632775" w:rsidRPr="00EF486C">
        <w:rPr>
          <w:color w:val="auto"/>
        </w:rPr>
        <w:t xml:space="preserve"> </w:t>
      </w:r>
    </w:p>
    <w:p w:rsidR="00175679" w:rsidRDefault="002329CF" w:rsidP="002D746D">
      <w:pPr>
        <w:pStyle w:val="Heading1"/>
        <w:rPr>
          <w:b w:val="0"/>
          <w:color w:val="FF0000"/>
        </w:rPr>
      </w:pPr>
      <w:r w:rsidRPr="00352F41">
        <w:rPr>
          <w:b w:val="0"/>
          <w:i/>
          <w:color w:val="auto"/>
        </w:rPr>
        <w:t>Financial implications</w:t>
      </w:r>
    </w:p>
    <w:p w:rsidR="00833DB5" w:rsidRPr="00EB761F" w:rsidRDefault="00043BF4" w:rsidP="00356CDB">
      <w:pPr>
        <w:pStyle w:val="ListParagraph"/>
        <w:numPr>
          <w:ilvl w:val="0"/>
          <w:numId w:val="41"/>
        </w:numPr>
        <w:rPr>
          <w:color w:val="auto"/>
        </w:rPr>
      </w:pPr>
      <w:r w:rsidRPr="00EB761F">
        <w:rPr>
          <w:color w:val="auto"/>
        </w:rPr>
        <w:t>There will be a</w:t>
      </w:r>
      <w:r w:rsidR="006B30A2" w:rsidRPr="00EB761F">
        <w:rPr>
          <w:color w:val="auto"/>
        </w:rPr>
        <w:t xml:space="preserve"> loss </w:t>
      </w:r>
      <w:r w:rsidRPr="00EB761F">
        <w:rPr>
          <w:color w:val="auto"/>
        </w:rPr>
        <w:t xml:space="preserve">of </w:t>
      </w:r>
      <w:r w:rsidR="00665C79" w:rsidRPr="00EB761F">
        <w:rPr>
          <w:color w:val="auto"/>
        </w:rPr>
        <w:t>revenue to</w:t>
      </w:r>
      <w:r w:rsidR="008479BA" w:rsidRPr="00EB761F">
        <w:rPr>
          <w:color w:val="auto"/>
        </w:rPr>
        <w:t xml:space="preserve"> </w:t>
      </w:r>
      <w:r w:rsidR="006B30A2" w:rsidRPr="00EB761F">
        <w:rPr>
          <w:color w:val="auto"/>
        </w:rPr>
        <w:t xml:space="preserve">the Cemeteries Service over the next two years as the number of new graves declines. At the moment a new grave on average costs £1,579. New graves contribute on average 36% to the overall Cemeteries Service income per year. </w:t>
      </w:r>
      <w:r w:rsidR="008479BA" w:rsidRPr="00EB761F">
        <w:rPr>
          <w:color w:val="auto"/>
        </w:rPr>
        <w:t>A</w:t>
      </w:r>
      <w:r w:rsidR="006B30A2" w:rsidRPr="00EB761F">
        <w:rPr>
          <w:color w:val="auto"/>
        </w:rPr>
        <w:t xml:space="preserve">s the number of </w:t>
      </w:r>
      <w:r w:rsidR="008479BA" w:rsidRPr="00EB761F">
        <w:rPr>
          <w:color w:val="auto"/>
        </w:rPr>
        <w:t xml:space="preserve">burials </w:t>
      </w:r>
      <w:r w:rsidR="006B30A2" w:rsidRPr="00EB761F">
        <w:rPr>
          <w:color w:val="auto"/>
        </w:rPr>
        <w:t>decline</w:t>
      </w:r>
      <w:r w:rsidR="008479BA" w:rsidRPr="00EB761F">
        <w:rPr>
          <w:color w:val="auto"/>
        </w:rPr>
        <w:t>s</w:t>
      </w:r>
      <w:r w:rsidR="006B30A2" w:rsidRPr="00EB761F">
        <w:rPr>
          <w:color w:val="auto"/>
        </w:rPr>
        <w:t xml:space="preserve">, this </w:t>
      </w:r>
      <w:r w:rsidR="008479BA" w:rsidRPr="00EB761F">
        <w:rPr>
          <w:color w:val="auto"/>
        </w:rPr>
        <w:t>percentage</w:t>
      </w:r>
      <w:r w:rsidR="006B30A2" w:rsidRPr="00EB761F">
        <w:rPr>
          <w:color w:val="auto"/>
        </w:rPr>
        <w:t xml:space="preserve"> will </w:t>
      </w:r>
      <w:r w:rsidR="008479BA" w:rsidRPr="00EB761F">
        <w:rPr>
          <w:color w:val="auto"/>
        </w:rPr>
        <w:t>decrease and the</w:t>
      </w:r>
      <w:r w:rsidR="006B30A2" w:rsidRPr="00EB761F">
        <w:rPr>
          <w:color w:val="auto"/>
        </w:rPr>
        <w:t xml:space="preserve"> income gap will need to be filled. </w:t>
      </w:r>
    </w:p>
    <w:p w:rsidR="006B30A2" w:rsidRDefault="006B30A2" w:rsidP="00EF486C">
      <w:pPr>
        <w:pStyle w:val="ListParagraph"/>
        <w:numPr>
          <w:ilvl w:val="0"/>
          <w:numId w:val="41"/>
        </w:numPr>
        <w:rPr>
          <w:color w:val="auto"/>
        </w:rPr>
      </w:pPr>
      <w:r w:rsidRPr="00EF486C">
        <w:rPr>
          <w:color w:val="auto"/>
        </w:rPr>
        <w:t>In the</w:t>
      </w:r>
      <w:r w:rsidR="004501DC" w:rsidRPr="00EF486C">
        <w:rPr>
          <w:color w:val="auto"/>
        </w:rPr>
        <w:t xml:space="preserve"> Medium Term Financial Plan</w:t>
      </w:r>
      <w:r w:rsidR="00495847" w:rsidRPr="00EF486C">
        <w:rPr>
          <w:color w:val="auto"/>
        </w:rPr>
        <w:t xml:space="preserve"> (MTFP)</w:t>
      </w:r>
      <w:r w:rsidR="004501DC" w:rsidRPr="00EF486C">
        <w:rPr>
          <w:color w:val="auto"/>
        </w:rPr>
        <w:t xml:space="preserve"> </w:t>
      </w:r>
      <w:r w:rsidRPr="00EF486C">
        <w:rPr>
          <w:color w:val="auto"/>
        </w:rPr>
        <w:t xml:space="preserve">cemeteries income over financial years </w:t>
      </w:r>
      <w:r w:rsidR="004501DC" w:rsidRPr="00EF486C">
        <w:rPr>
          <w:color w:val="auto"/>
        </w:rPr>
        <w:t>2021/22 &amp; 2022/23 is set to decline by £205,000. This will result in an increase</w:t>
      </w:r>
      <w:r w:rsidR="00043BF4">
        <w:rPr>
          <w:color w:val="auto"/>
        </w:rPr>
        <w:t>d</w:t>
      </w:r>
      <w:r w:rsidR="004501DC" w:rsidRPr="00EF486C">
        <w:rPr>
          <w:color w:val="auto"/>
        </w:rPr>
        <w:t xml:space="preserve"> cost to the Council to </w:t>
      </w:r>
      <w:r w:rsidR="00167445" w:rsidRPr="00EF486C">
        <w:rPr>
          <w:color w:val="auto"/>
        </w:rPr>
        <w:t>subsid</w:t>
      </w:r>
      <w:r w:rsidR="00D4047E">
        <w:rPr>
          <w:color w:val="auto"/>
        </w:rPr>
        <w:t>is</w:t>
      </w:r>
      <w:r w:rsidR="00167445" w:rsidRPr="00EF486C">
        <w:rPr>
          <w:color w:val="auto"/>
        </w:rPr>
        <w:t xml:space="preserve">e the </w:t>
      </w:r>
      <w:r w:rsidR="004501DC" w:rsidRPr="00EF486C">
        <w:rPr>
          <w:color w:val="auto"/>
        </w:rPr>
        <w:t xml:space="preserve">service. </w:t>
      </w:r>
    </w:p>
    <w:p w:rsidR="00BC0A2E" w:rsidRPr="001A2034" w:rsidRDefault="00BC0A2E" w:rsidP="001A2034">
      <w:pPr>
        <w:rPr>
          <w:i/>
        </w:rPr>
      </w:pPr>
      <w:r w:rsidRPr="001A2034">
        <w:rPr>
          <w:i/>
        </w:rPr>
        <w:t>Legal Implications</w:t>
      </w:r>
    </w:p>
    <w:p w:rsidR="00872311" w:rsidRPr="004F6789" w:rsidRDefault="00872311" w:rsidP="001A2034">
      <w:pPr>
        <w:pStyle w:val="ListParagraph"/>
        <w:numPr>
          <w:ilvl w:val="0"/>
          <w:numId w:val="41"/>
        </w:numPr>
        <w:rPr>
          <w:color w:val="auto"/>
        </w:rPr>
      </w:pPr>
      <w:r w:rsidRPr="004F6789">
        <w:rPr>
          <w:color w:val="auto"/>
        </w:rPr>
        <w:t>There is no statutory duty on a local authority to provide burial facilities, but if it does so, the management is governed by the Local Authorities’ Cemeteries Order 1977</w:t>
      </w:r>
      <w:r w:rsidR="004F6789">
        <w:rPr>
          <w:color w:val="auto"/>
        </w:rPr>
        <w:t xml:space="preserve"> which gives burial authorities wide ranging powers</w:t>
      </w:r>
      <w:r w:rsidRPr="004F6789">
        <w:rPr>
          <w:color w:val="auto"/>
        </w:rPr>
        <w:t>. Oxf</w:t>
      </w:r>
      <w:r w:rsidR="002D6474">
        <w:rPr>
          <w:color w:val="auto"/>
        </w:rPr>
        <w:t>ord City Council as a district</w:t>
      </w:r>
      <w:r w:rsidRPr="004F6789">
        <w:rPr>
          <w:color w:val="auto"/>
        </w:rPr>
        <w:t xml:space="preserve"> council is defined as a burial authorit</w:t>
      </w:r>
      <w:r w:rsidR="004F6789" w:rsidRPr="004F6789">
        <w:rPr>
          <w:color w:val="auto"/>
        </w:rPr>
        <w:t>y</w:t>
      </w:r>
      <w:r w:rsidRPr="004F6789">
        <w:rPr>
          <w:color w:val="auto"/>
        </w:rPr>
        <w:t xml:space="preserve"> and given the power to provide cemeteries by virtue of </w:t>
      </w:r>
      <w:r w:rsidR="004F6789" w:rsidRPr="004F6789">
        <w:rPr>
          <w:color w:val="auto"/>
        </w:rPr>
        <w:t>Section 214 (1) of the Local Government Act 1972 (the Act) and Schedule 26 of the Act. Under Section 214(2) of the Act a burial authority</w:t>
      </w:r>
      <w:r w:rsidRPr="004F6789">
        <w:rPr>
          <w:color w:val="auto"/>
        </w:rPr>
        <w:t xml:space="preserve"> may provide and maintain cemeteries whether in or outside</w:t>
      </w:r>
      <w:r w:rsidR="004F6789" w:rsidRPr="004F6789">
        <w:rPr>
          <w:color w:val="auto"/>
        </w:rPr>
        <w:t xml:space="preserve"> its</w:t>
      </w:r>
      <w:r w:rsidRPr="004F6789">
        <w:rPr>
          <w:color w:val="auto"/>
        </w:rPr>
        <w:t xml:space="preserve"> area.</w:t>
      </w:r>
    </w:p>
    <w:p w:rsidR="002D746D" w:rsidRPr="002D746D" w:rsidRDefault="002329CF" w:rsidP="002D746D">
      <w:pPr>
        <w:pStyle w:val="Heading1"/>
      </w:pPr>
      <w:r w:rsidRPr="00E60808">
        <w:rPr>
          <w:b w:val="0"/>
          <w:i/>
        </w:rPr>
        <w:t>Level of risk</w:t>
      </w:r>
    </w:p>
    <w:p w:rsidR="006477E6" w:rsidRPr="00F968B3" w:rsidRDefault="00A94E60" w:rsidP="001A2034">
      <w:pPr>
        <w:pStyle w:val="bParagraphtext"/>
        <w:numPr>
          <w:ilvl w:val="0"/>
          <w:numId w:val="41"/>
        </w:numPr>
        <w:tabs>
          <w:tab w:val="clear" w:pos="426"/>
          <w:tab w:val="left" w:pos="0"/>
        </w:tabs>
        <w:rPr>
          <w:color w:val="auto"/>
        </w:rPr>
      </w:pPr>
      <w:r w:rsidRPr="00E60808">
        <w:rPr>
          <w:color w:val="auto"/>
        </w:rPr>
        <w:t>The only other option available is to not carry out this process. This would result in an increasing pressure to find suitable land for a new cemetery. Even if suitable land was found it would take 4-5 years for it to be developed. There would be a gap of</w:t>
      </w:r>
      <w:r w:rsidR="00175679">
        <w:rPr>
          <w:color w:val="auto"/>
        </w:rPr>
        <w:t xml:space="preserve"> at least</w:t>
      </w:r>
      <w:r w:rsidRPr="00E60808">
        <w:rPr>
          <w:color w:val="auto"/>
        </w:rPr>
        <w:t xml:space="preserve"> 2 years where there would be no burial provision for Oxford residents</w:t>
      </w:r>
      <w:r w:rsidR="009772F9">
        <w:rPr>
          <w:color w:val="auto"/>
        </w:rPr>
        <w:t xml:space="preserve"> within the area of the City’s boundaries</w:t>
      </w:r>
      <w:r w:rsidRPr="00E60808">
        <w:rPr>
          <w:color w:val="auto"/>
        </w:rPr>
        <w:t>.</w:t>
      </w:r>
    </w:p>
    <w:p w:rsidR="002329CF" w:rsidRPr="00E60808" w:rsidRDefault="002329CF" w:rsidP="00E60808">
      <w:pPr>
        <w:pStyle w:val="bParagraphtext"/>
        <w:numPr>
          <w:ilvl w:val="0"/>
          <w:numId w:val="0"/>
        </w:numPr>
        <w:tabs>
          <w:tab w:val="clear" w:pos="426"/>
          <w:tab w:val="left" w:pos="0"/>
        </w:tabs>
        <w:rPr>
          <w:color w:val="0070C0"/>
        </w:rPr>
      </w:pPr>
      <w:r w:rsidRPr="00E60808">
        <w:rPr>
          <w:i/>
        </w:rPr>
        <w:t xml:space="preserve">Equalities impact </w:t>
      </w:r>
    </w:p>
    <w:p w:rsidR="00537155" w:rsidRPr="00EF486C" w:rsidRDefault="00537155" w:rsidP="00EF486C">
      <w:pPr>
        <w:pStyle w:val="ListParagraph"/>
        <w:numPr>
          <w:ilvl w:val="0"/>
          <w:numId w:val="41"/>
        </w:numPr>
        <w:rPr>
          <w:color w:val="auto"/>
        </w:rPr>
      </w:pPr>
      <w:r w:rsidRPr="00EF486C">
        <w:rPr>
          <w:color w:val="auto"/>
        </w:rPr>
        <w:t xml:space="preserve">Within Wolvercote cemetery the Jewish community has burial space provided due to a covenant signed in 1896. Botley cemetery is where all Muslim burials take place and there is burial space for the community. However the burial space for these two communities is finite and it is a religious requirement for </w:t>
      </w:r>
      <w:r w:rsidR="009772F9">
        <w:rPr>
          <w:color w:val="auto"/>
        </w:rPr>
        <w:t>the deceased practising these</w:t>
      </w:r>
      <w:r w:rsidRPr="00EF486C">
        <w:rPr>
          <w:color w:val="auto"/>
        </w:rPr>
        <w:t xml:space="preserve"> religions to be buried. The Muslim and Jewish communit</w:t>
      </w:r>
      <w:r w:rsidR="009772F9">
        <w:rPr>
          <w:color w:val="auto"/>
        </w:rPr>
        <w:t>ies</w:t>
      </w:r>
      <w:r w:rsidRPr="00EF486C">
        <w:rPr>
          <w:color w:val="auto"/>
        </w:rPr>
        <w:t xml:space="preserve"> </w:t>
      </w:r>
      <w:r w:rsidR="009772F9">
        <w:rPr>
          <w:color w:val="auto"/>
        </w:rPr>
        <w:t>do not support the</w:t>
      </w:r>
      <w:r w:rsidRPr="00EF486C">
        <w:rPr>
          <w:color w:val="auto"/>
        </w:rPr>
        <w:t xml:space="preserve"> cremation of human remains. The Catholic faith over the past two years has relaxed this ruling but traditionally will still opt for burial. </w:t>
      </w:r>
    </w:p>
    <w:p w:rsidR="00537155" w:rsidRPr="00EF486C" w:rsidRDefault="00EF486C" w:rsidP="00EF486C">
      <w:pPr>
        <w:pStyle w:val="ListParagraph"/>
        <w:numPr>
          <w:ilvl w:val="0"/>
          <w:numId w:val="41"/>
        </w:numPr>
        <w:rPr>
          <w:color w:val="auto"/>
        </w:rPr>
      </w:pPr>
      <w:r>
        <w:rPr>
          <w:color w:val="auto"/>
        </w:rPr>
        <w:lastRenderedPageBreak/>
        <w:t>A</w:t>
      </w:r>
      <w:r w:rsidR="00537155" w:rsidRPr="00EF486C">
        <w:rPr>
          <w:color w:val="auto"/>
        </w:rPr>
        <w:t>lthough religion is an important factor</w:t>
      </w:r>
      <w:r w:rsidR="00A94E60" w:rsidRPr="00EF486C">
        <w:rPr>
          <w:color w:val="auto"/>
        </w:rPr>
        <w:t xml:space="preserve">, religious alignment has been declining for a number of years. It is important to highlight being buried is also a personal preference that </w:t>
      </w:r>
      <w:r w:rsidR="009772F9">
        <w:rPr>
          <w:color w:val="auto"/>
        </w:rPr>
        <w:t>the Council</w:t>
      </w:r>
      <w:r w:rsidR="00A94E60" w:rsidRPr="00EF486C">
        <w:rPr>
          <w:color w:val="auto"/>
        </w:rPr>
        <w:t xml:space="preserve"> ha</w:t>
      </w:r>
      <w:r w:rsidR="009772F9">
        <w:rPr>
          <w:color w:val="auto"/>
        </w:rPr>
        <w:t>s</w:t>
      </w:r>
      <w:r w:rsidR="00A94E60" w:rsidRPr="00EF486C">
        <w:rPr>
          <w:color w:val="auto"/>
        </w:rPr>
        <w:t xml:space="preserve"> accommodated for a number of years.</w:t>
      </w:r>
    </w:p>
    <w:p w:rsidR="00E5433B" w:rsidRPr="00EF486C" w:rsidRDefault="00090CFA" w:rsidP="00090C96">
      <w:pPr>
        <w:pStyle w:val="ListParagraph"/>
        <w:numPr>
          <w:ilvl w:val="0"/>
          <w:numId w:val="41"/>
        </w:numPr>
        <w:rPr>
          <w:color w:val="auto"/>
        </w:rPr>
      </w:pPr>
      <w:r w:rsidRPr="00EF486C">
        <w:rPr>
          <w:color w:val="auto"/>
        </w:rPr>
        <w:t xml:space="preserve">Funeral poverty is now a widely publicised issue. </w:t>
      </w:r>
      <w:r w:rsidR="000A5F16" w:rsidRPr="00EF486C">
        <w:rPr>
          <w:color w:val="auto"/>
        </w:rPr>
        <w:t>Under the Reclamation scheme, t</w:t>
      </w:r>
      <w:r w:rsidR="004E7749" w:rsidRPr="00EF486C">
        <w:rPr>
          <w:color w:val="auto"/>
        </w:rPr>
        <w:t>he</w:t>
      </w:r>
      <w:r w:rsidR="00C36BBB" w:rsidRPr="00EF486C">
        <w:rPr>
          <w:color w:val="auto"/>
        </w:rPr>
        <w:t>re will be an</w:t>
      </w:r>
      <w:r w:rsidRPr="00EF486C">
        <w:rPr>
          <w:color w:val="auto"/>
        </w:rPr>
        <w:t xml:space="preserve"> option to purchase previously excavated graves at a lower cost</w:t>
      </w:r>
      <w:r w:rsidR="00090C96">
        <w:rPr>
          <w:color w:val="auto"/>
        </w:rPr>
        <w:t xml:space="preserve"> </w:t>
      </w:r>
      <w:r w:rsidR="00090C96" w:rsidRPr="00090C96">
        <w:rPr>
          <w:color w:val="auto"/>
        </w:rPr>
        <w:t>(the actual cost to be charged per plot being subject to approval by full Counc</w:t>
      </w:r>
      <w:r w:rsidR="00090C96">
        <w:rPr>
          <w:color w:val="auto"/>
        </w:rPr>
        <w:t>il through the budget process).</w:t>
      </w:r>
    </w:p>
    <w:p w:rsidR="002D746D" w:rsidRPr="002D746D" w:rsidRDefault="00E87F7A" w:rsidP="002D746D">
      <w:pPr>
        <w:pStyle w:val="Heading1"/>
      </w:pPr>
      <w:r w:rsidRPr="00E5433B">
        <w:t>Conclusion</w:t>
      </w:r>
    </w:p>
    <w:p w:rsidR="00C07C30" w:rsidRDefault="00A46DB6">
      <w:pPr>
        <w:pStyle w:val="ListParagraph"/>
        <w:numPr>
          <w:ilvl w:val="0"/>
          <w:numId w:val="41"/>
        </w:numPr>
      </w:pPr>
      <w:r>
        <w:t>With current cemeteries closing, new grave space declining rapidly and no land being developed f</w:t>
      </w:r>
      <w:r w:rsidR="00175679">
        <w:t>or a new cemetery</w:t>
      </w:r>
      <w:r w:rsidR="00236913">
        <w:t xml:space="preserve">, </w:t>
      </w:r>
      <w:r w:rsidR="009772F9">
        <w:t>The Council is</w:t>
      </w:r>
      <w:r w:rsidR="00236913">
        <w:t xml:space="preserve"> entering a challenging period for burial provision</w:t>
      </w:r>
      <w:r w:rsidR="00175679">
        <w:t>.</w:t>
      </w:r>
      <w:r w:rsidR="00236913">
        <w:t xml:space="preserve"> Without this immediate action,</w:t>
      </w:r>
      <w:r w:rsidR="00175679">
        <w:t xml:space="preserve"> </w:t>
      </w:r>
      <w:r w:rsidR="00236913">
        <w:t>i</w:t>
      </w:r>
      <w:r>
        <w:t xml:space="preserve">n two </w:t>
      </w:r>
      <w:r w:rsidR="00E5433B">
        <w:t>years’ time</w:t>
      </w:r>
      <w:r w:rsidR="00175679">
        <w:t xml:space="preserve"> Oxford</w:t>
      </w:r>
      <w:r>
        <w:t xml:space="preserve"> could potentially be the first authority to </w:t>
      </w:r>
      <w:r w:rsidR="001D0CCD">
        <w:t>have</w:t>
      </w:r>
      <w:r>
        <w:t xml:space="preserve"> </w:t>
      </w:r>
      <w:r w:rsidR="008479BA">
        <w:t>no</w:t>
      </w:r>
      <w:r>
        <w:t xml:space="preserve"> </w:t>
      </w:r>
      <w:r w:rsidR="00175679">
        <w:t>place for their residents to be</w:t>
      </w:r>
      <w:r>
        <w:t xml:space="preserve"> buried</w:t>
      </w:r>
      <w:r w:rsidR="009772F9">
        <w:t xml:space="preserve"> within its administrative boundaries</w:t>
      </w:r>
      <w:r>
        <w:t xml:space="preserve">. </w:t>
      </w:r>
      <w:r w:rsidR="009772F9">
        <w:t>The Council</w:t>
      </w:r>
      <w:r w:rsidR="006477E6">
        <w:t xml:space="preserve"> will continue to work towards a long te</w:t>
      </w:r>
      <w:r w:rsidR="008479BA">
        <w:t>r</w:t>
      </w:r>
      <w:r w:rsidR="006477E6">
        <w:t xml:space="preserve">m solution for burial and will provide an update </w:t>
      </w:r>
      <w:r w:rsidR="009772F9">
        <w:t xml:space="preserve">to the </w:t>
      </w:r>
      <w:r w:rsidR="00C50470">
        <w:t>Cabinet</w:t>
      </w:r>
      <w:r w:rsidR="009169DA">
        <w:t xml:space="preserve"> </w:t>
      </w:r>
      <w:r w:rsidR="006477E6">
        <w:t>in the next six months.</w:t>
      </w:r>
    </w:p>
    <w:tbl>
      <w:tblPr>
        <w:tblpPr w:leftFromText="180" w:rightFromText="180" w:vertAnchor="text" w:horzAnchor="margin" w:tblpY="95"/>
        <w:tblW w:w="0" w:type="auto"/>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167445" w:rsidRPr="001356F1" w:rsidTr="0016744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167445" w:rsidRPr="001356F1" w:rsidRDefault="00167445" w:rsidP="00167445">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167445" w:rsidRPr="001356F1" w:rsidRDefault="00167445" w:rsidP="00167445">
            <w:r>
              <w:t>Laura Harlock &amp; Stuart Fitzsimmons</w:t>
            </w:r>
          </w:p>
        </w:tc>
      </w:tr>
      <w:tr w:rsidR="00167445" w:rsidRPr="001356F1" w:rsidTr="00167445">
        <w:trPr>
          <w:cantSplit/>
          <w:trHeight w:val="396"/>
        </w:trPr>
        <w:tc>
          <w:tcPr>
            <w:tcW w:w="3969" w:type="dxa"/>
            <w:tcBorders>
              <w:top w:val="single" w:sz="8" w:space="0" w:color="000000"/>
              <w:left w:val="single" w:sz="8" w:space="0" w:color="000000"/>
              <w:bottom w:val="nil"/>
              <w:right w:val="nil"/>
            </w:tcBorders>
            <w:shd w:val="clear" w:color="auto" w:fill="auto"/>
          </w:tcPr>
          <w:p w:rsidR="00167445" w:rsidRPr="001356F1" w:rsidRDefault="00167445" w:rsidP="00167445">
            <w:r w:rsidRPr="001356F1">
              <w:t>Job title</w:t>
            </w:r>
          </w:p>
        </w:tc>
        <w:tc>
          <w:tcPr>
            <w:tcW w:w="4962" w:type="dxa"/>
            <w:tcBorders>
              <w:top w:val="single" w:sz="8" w:space="0" w:color="000000"/>
              <w:left w:val="nil"/>
              <w:bottom w:val="nil"/>
              <w:right w:val="single" w:sz="8" w:space="0" w:color="000000"/>
            </w:tcBorders>
            <w:shd w:val="clear" w:color="auto" w:fill="auto"/>
          </w:tcPr>
          <w:p w:rsidR="00167445" w:rsidRPr="001356F1" w:rsidRDefault="00167445" w:rsidP="00167445">
            <w:r>
              <w:t>Cemetery Manager &amp; Parks and Open Spaces Manager</w:t>
            </w:r>
          </w:p>
        </w:tc>
      </w:tr>
      <w:tr w:rsidR="00167445" w:rsidRPr="001356F1" w:rsidTr="00167445">
        <w:trPr>
          <w:cantSplit/>
          <w:trHeight w:val="396"/>
        </w:trPr>
        <w:tc>
          <w:tcPr>
            <w:tcW w:w="3969" w:type="dxa"/>
            <w:tcBorders>
              <w:top w:val="nil"/>
              <w:left w:val="single" w:sz="8" w:space="0" w:color="000000"/>
              <w:bottom w:val="nil"/>
              <w:right w:val="nil"/>
            </w:tcBorders>
            <w:shd w:val="clear" w:color="auto" w:fill="auto"/>
          </w:tcPr>
          <w:p w:rsidR="00167445" w:rsidRPr="001356F1" w:rsidRDefault="00167445" w:rsidP="00167445">
            <w:r w:rsidRPr="001356F1">
              <w:t>Service area or department</w:t>
            </w:r>
          </w:p>
        </w:tc>
        <w:tc>
          <w:tcPr>
            <w:tcW w:w="4962" w:type="dxa"/>
            <w:tcBorders>
              <w:top w:val="nil"/>
              <w:left w:val="nil"/>
              <w:bottom w:val="nil"/>
              <w:right w:val="single" w:sz="8" w:space="0" w:color="000000"/>
            </w:tcBorders>
            <w:shd w:val="clear" w:color="auto" w:fill="auto"/>
          </w:tcPr>
          <w:p w:rsidR="00167445" w:rsidRPr="001356F1" w:rsidRDefault="00167445" w:rsidP="00167445">
            <w:r>
              <w:t>ODS Parks and Open Spaces</w:t>
            </w:r>
          </w:p>
        </w:tc>
      </w:tr>
      <w:tr w:rsidR="00167445" w:rsidRPr="001356F1" w:rsidTr="00167445">
        <w:trPr>
          <w:cantSplit/>
          <w:trHeight w:val="396"/>
        </w:trPr>
        <w:tc>
          <w:tcPr>
            <w:tcW w:w="3969" w:type="dxa"/>
            <w:tcBorders>
              <w:top w:val="nil"/>
              <w:left w:val="single" w:sz="8" w:space="0" w:color="000000"/>
              <w:bottom w:val="nil"/>
              <w:right w:val="nil"/>
            </w:tcBorders>
            <w:shd w:val="clear" w:color="auto" w:fill="auto"/>
          </w:tcPr>
          <w:p w:rsidR="00167445" w:rsidRPr="001356F1" w:rsidRDefault="00167445" w:rsidP="00167445">
            <w:r w:rsidRPr="001356F1">
              <w:t xml:space="preserve">Telephone </w:t>
            </w:r>
          </w:p>
        </w:tc>
        <w:tc>
          <w:tcPr>
            <w:tcW w:w="4962" w:type="dxa"/>
            <w:tcBorders>
              <w:top w:val="nil"/>
              <w:left w:val="nil"/>
              <w:bottom w:val="nil"/>
              <w:right w:val="single" w:sz="8" w:space="0" w:color="000000"/>
            </w:tcBorders>
            <w:shd w:val="clear" w:color="auto" w:fill="auto"/>
          </w:tcPr>
          <w:p w:rsidR="00167445" w:rsidRPr="001356F1" w:rsidRDefault="00167445" w:rsidP="00167445">
            <w:r w:rsidRPr="001356F1">
              <w:t xml:space="preserve">01865 </w:t>
            </w:r>
            <w:r>
              <w:t>252240</w:t>
            </w:r>
          </w:p>
        </w:tc>
      </w:tr>
      <w:tr w:rsidR="00167445" w:rsidRPr="001356F1" w:rsidTr="00167445">
        <w:trPr>
          <w:cantSplit/>
          <w:trHeight w:val="396"/>
        </w:trPr>
        <w:tc>
          <w:tcPr>
            <w:tcW w:w="3969" w:type="dxa"/>
            <w:tcBorders>
              <w:top w:val="nil"/>
              <w:left w:val="single" w:sz="8" w:space="0" w:color="000000"/>
              <w:bottom w:val="single" w:sz="8" w:space="0" w:color="000000"/>
              <w:right w:val="nil"/>
            </w:tcBorders>
            <w:shd w:val="clear" w:color="auto" w:fill="auto"/>
          </w:tcPr>
          <w:p w:rsidR="00167445" w:rsidRPr="001356F1" w:rsidRDefault="00167445" w:rsidP="00167445">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167445" w:rsidRDefault="00B15DAA" w:rsidP="00167445">
            <w:pPr>
              <w:rPr>
                <w:rStyle w:val="Hyperlink"/>
                <w:color w:val="000000"/>
              </w:rPr>
            </w:pPr>
            <w:hyperlink r:id="rId9" w:history="1">
              <w:r w:rsidR="00167445" w:rsidRPr="000E0A2F">
                <w:rPr>
                  <w:rStyle w:val="Hyperlink"/>
                </w:rPr>
                <w:t>Laura.harlock@oxfordds.co.uk</w:t>
              </w:r>
            </w:hyperlink>
            <w:r w:rsidR="00167445">
              <w:rPr>
                <w:rStyle w:val="Hyperlink"/>
                <w:color w:val="000000"/>
              </w:rPr>
              <w:t xml:space="preserve"> </w:t>
            </w:r>
          </w:p>
          <w:p w:rsidR="00167445" w:rsidRPr="001356F1" w:rsidRDefault="00B15DAA" w:rsidP="00167445">
            <w:pPr>
              <w:rPr>
                <w:rStyle w:val="Hyperlink"/>
                <w:color w:val="000000"/>
              </w:rPr>
            </w:pPr>
            <w:hyperlink r:id="rId10" w:history="1">
              <w:r w:rsidR="00167445" w:rsidRPr="000E0A2F">
                <w:rPr>
                  <w:rStyle w:val="Hyperlink"/>
                </w:rPr>
                <w:t>Stuart.fitzsimmons@oxfordds.co.uk</w:t>
              </w:r>
            </w:hyperlink>
          </w:p>
        </w:tc>
      </w:tr>
    </w:tbl>
    <w:tbl>
      <w:tblPr>
        <w:tblpPr w:leftFromText="180" w:rightFromText="180" w:vertAnchor="text" w:horzAnchor="margin" w:tblpY="-9"/>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E86939" w:rsidRPr="001356F1" w:rsidTr="00E86939">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E86939" w:rsidRPr="001356F1" w:rsidRDefault="00E86939" w:rsidP="00E86939">
            <w:r w:rsidRPr="001356F1">
              <w:rPr>
                <w:rStyle w:val="Firstpagetablebold"/>
              </w:rPr>
              <w:t xml:space="preserve">Background Papers: </w:t>
            </w:r>
            <w:r w:rsidRPr="001356F1">
              <w:rPr>
                <w:rStyle w:val="Firstpagetablebold"/>
                <w:b w:val="0"/>
              </w:rPr>
              <w:t>None</w:t>
            </w:r>
          </w:p>
        </w:tc>
      </w:tr>
      <w:tr w:rsidR="00E86939" w:rsidRPr="001356F1" w:rsidTr="009169DA">
        <w:tc>
          <w:tcPr>
            <w:tcW w:w="567" w:type="dxa"/>
            <w:tcBorders>
              <w:top w:val="single" w:sz="8" w:space="0" w:color="000000"/>
              <w:left w:val="single" w:sz="8" w:space="0" w:color="000000"/>
              <w:bottom w:val="nil"/>
              <w:right w:val="nil"/>
            </w:tcBorders>
            <w:shd w:val="clear" w:color="auto" w:fill="auto"/>
          </w:tcPr>
          <w:p w:rsidR="00E86939" w:rsidRPr="001356F1" w:rsidRDefault="00E86939" w:rsidP="00E86939">
            <w:r w:rsidRPr="001356F1">
              <w:t>1</w:t>
            </w:r>
          </w:p>
        </w:tc>
        <w:tc>
          <w:tcPr>
            <w:tcW w:w="8364" w:type="dxa"/>
            <w:tcBorders>
              <w:top w:val="single" w:sz="8" w:space="0" w:color="000000"/>
              <w:left w:val="nil"/>
              <w:bottom w:val="nil"/>
              <w:right w:val="single" w:sz="8" w:space="0" w:color="000000"/>
            </w:tcBorders>
          </w:tcPr>
          <w:p w:rsidR="00E86939" w:rsidRPr="00CB6F15" w:rsidRDefault="00E86939" w:rsidP="00E86939">
            <w:pPr>
              <w:rPr>
                <w:color w:val="auto"/>
              </w:rPr>
            </w:pPr>
            <w:r w:rsidRPr="00CB6F15">
              <w:rPr>
                <w:color w:val="auto"/>
              </w:rPr>
              <w:t xml:space="preserve">1977 Local Authorities Cemeteries Order </w:t>
            </w:r>
          </w:p>
        </w:tc>
      </w:tr>
      <w:tr w:rsidR="00E86939" w:rsidRPr="001356F1" w:rsidTr="009169DA">
        <w:tc>
          <w:tcPr>
            <w:tcW w:w="567" w:type="dxa"/>
            <w:tcBorders>
              <w:top w:val="nil"/>
              <w:left w:val="single" w:sz="8" w:space="0" w:color="000000"/>
              <w:bottom w:val="single" w:sz="4" w:space="0" w:color="auto"/>
              <w:right w:val="nil"/>
            </w:tcBorders>
            <w:shd w:val="clear" w:color="auto" w:fill="auto"/>
          </w:tcPr>
          <w:p w:rsidR="00E86939" w:rsidRPr="001356F1" w:rsidRDefault="00E86939" w:rsidP="00E86939">
            <w:r w:rsidRPr="001356F1">
              <w:t>2</w:t>
            </w:r>
          </w:p>
        </w:tc>
        <w:tc>
          <w:tcPr>
            <w:tcW w:w="8364" w:type="dxa"/>
            <w:tcBorders>
              <w:top w:val="nil"/>
              <w:left w:val="nil"/>
              <w:bottom w:val="single" w:sz="4" w:space="0" w:color="auto"/>
              <w:right w:val="single" w:sz="8" w:space="0" w:color="000000"/>
            </w:tcBorders>
          </w:tcPr>
          <w:p w:rsidR="00E86939" w:rsidRPr="00CB6F15" w:rsidRDefault="00E86939" w:rsidP="00E86939">
            <w:pPr>
              <w:rPr>
                <w:color w:val="auto"/>
              </w:rPr>
            </w:pPr>
            <w:r w:rsidRPr="00CB6F15">
              <w:rPr>
                <w:color w:val="auto"/>
              </w:rPr>
              <w:t>London Borough of Croydon – Reclaimed Graves 18/19</w:t>
            </w:r>
          </w:p>
        </w:tc>
      </w:tr>
    </w:tbl>
    <w:p w:rsidR="00CE4C87" w:rsidRDefault="00CE4C87" w:rsidP="0093067A"/>
    <w:p w:rsidR="004456DD" w:rsidRPr="009E51FC" w:rsidRDefault="004456DD" w:rsidP="0093067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3A" w:rsidRDefault="00DD7C3A" w:rsidP="004A6D2F">
      <w:r>
        <w:separator/>
      </w:r>
    </w:p>
  </w:endnote>
  <w:endnote w:type="continuationSeparator" w:id="0">
    <w:p w:rsidR="00DD7C3A" w:rsidRDefault="00DD7C3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3A" w:rsidRDefault="00DD7C3A" w:rsidP="004A6D2F">
      <w:r>
        <w:separator/>
      </w:r>
    </w:p>
  </w:footnote>
  <w:footnote w:type="continuationSeparator" w:id="0">
    <w:p w:rsidR="00DD7C3A" w:rsidRDefault="00DD7C3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F2FD4"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DF1910"/>
    <w:multiLevelType w:val="hybridMultilevel"/>
    <w:tmpl w:val="72243D3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8678B5"/>
    <w:multiLevelType w:val="hybridMultilevel"/>
    <w:tmpl w:val="633C6238"/>
    <w:lvl w:ilvl="0" w:tplc="819CCB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9F854AE"/>
    <w:multiLevelType w:val="hybridMultilevel"/>
    <w:tmpl w:val="A68CE98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B9520B8"/>
    <w:multiLevelType w:val="hybridMultilevel"/>
    <w:tmpl w:val="BFD62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45724B"/>
    <w:multiLevelType w:val="hybridMultilevel"/>
    <w:tmpl w:val="CD7CC05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8F3A85"/>
    <w:multiLevelType w:val="hybridMultilevel"/>
    <w:tmpl w:val="6AB4F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CC25C5"/>
    <w:multiLevelType w:val="hybridMultilevel"/>
    <w:tmpl w:val="3956E3BC"/>
    <w:lvl w:ilvl="0" w:tplc="0D04CC9C">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1AD5291"/>
    <w:multiLevelType w:val="hybridMultilevel"/>
    <w:tmpl w:val="60F2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B337C8"/>
    <w:multiLevelType w:val="hybridMultilevel"/>
    <w:tmpl w:val="97563F98"/>
    <w:lvl w:ilvl="0" w:tplc="8126FB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A22831"/>
    <w:multiLevelType w:val="multilevel"/>
    <w:tmpl w:val="43D6D2FA"/>
    <w:numStyleLink w:val="StyleBulletedSymbolsymbolLeft063cmHanging063cm"/>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8A73FC"/>
    <w:multiLevelType w:val="hybridMultilevel"/>
    <w:tmpl w:val="C2BA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BB3F76"/>
    <w:multiLevelType w:val="hybridMultilevel"/>
    <w:tmpl w:val="B6627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8365C6"/>
    <w:multiLevelType w:val="multilevel"/>
    <w:tmpl w:val="E67CE66C"/>
    <w:numStyleLink w:val="StyleNumberedLeft0cmHanging075cm"/>
  </w:abstractNum>
  <w:num w:numId="1">
    <w:abstractNumId w:val="34"/>
  </w:num>
  <w:num w:numId="2">
    <w:abstractNumId w:val="39"/>
  </w:num>
  <w:num w:numId="3">
    <w:abstractNumId w:val="30"/>
  </w:num>
  <w:num w:numId="4">
    <w:abstractNumId w:val="22"/>
  </w:num>
  <w:num w:numId="5">
    <w:abstractNumId w:val="36"/>
  </w:num>
  <w:num w:numId="6">
    <w:abstractNumId w:val="40"/>
  </w:num>
  <w:num w:numId="7">
    <w:abstractNumId w:val="29"/>
  </w:num>
  <w:num w:numId="8">
    <w:abstractNumId w:val="25"/>
  </w:num>
  <w:num w:numId="9">
    <w:abstractNumId w:val="13"/>
  </w:num>
  <w:num w:numId="10">
    <w:abstractNumId w:val="16"/>
  </w:num>
  <w:num w:numId="11">
    <w:abstractNumId w:val="33"/>
  </w:num>
  <w:num w:numId="12">
    <w:abstractNumId w:val="31"/>
  </w:num>
  <w:num w:numId="13">
    <w:abstractNumId w:val="10"/>
  </w:num>
  <w:num w:numId="14">
    <w:abstractNumId w:val="43"/>
  </w:num>
  <w:num w:numId="15">
    <w:abstractNumId w:val="17"/>
  </w:num>
  <w:num w:numId="16">
    <w:abstractNumId w:val="11"/>
  </w:num>
  <w:num w:numId="17">
    <w:abstractNumId w:val="35"/>
  </w:num>
  <w:num w:numId="18">
    <w:abstractNumId w:val="12"/>
  </w:num>
  <w:num w:numId="19">
    <w:abstractNumId w:val="37"/>
  </w:num>
  <w:num w:numId="20">
    <w:abstractNumId w:val="18"/>
  </w:num>
  <w:num w:numId="21">
    <w:abstractNumId w:val="27"/>
  </w:num>
  <w:num w:numId="22">
    <w:abstractNumId w:val="14"/>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 w:numId="35">
    <w:abstractNumId w:val="32"/>
  </w:num>
  <w:num w:numId="36">
    <w:abstractNumId w:val="42"/>
  </w:num>
  <w:num w:numId="37">
    <w:abstractNumId w:val="28"/>
  </w:num>
  <w:num w:numId="38">
    <w:abstractNumId w:val="21"/>
  </w:num>
  <w:num w:numId="39">
    <w:abstractNumId w:val="41"/>
  </w:num>
  <w:num w:numId="40">
    <w:abstractNumId w:val="19"/>
  </w:num>
  <w:num w:numId="41">
    <w:abstractNumId w:val="26"/>
  </w:num>
  <w:num w:numId="42">
    <w:abstractNumId w:val="23"/>
  </w:num>
  <w:num w:numId="43">
    <w:abstractNumId w:val="15"/>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BC"/>
    <w:rsid w:val="00005CCF"/>
    <w:rsid w:val="000117D4"/>
    <w:rsid w:val="00021570"/>
    <w:rsid w:val="000314D7"/>
    <w:rsid w:val="00034331"/>
    <w:rsid w:val="00043BF4"/>
    <w:rsid w:val="00045F8B"/>
    <w:rsid w:val="00046D2B"/>
    <w:rsid w:val="00056263"/>
    <w:rsid w:val="00064D8A"/>
    <w:rsid w:val="00064F82"/>
    <w:rsid w:val="00066510"/>
    <w:rsid w:val="00077523"/>
    <w:rsid w:val="00085225"/>
    <w:rsid w:val="00090C96"/>
    <w:rsid w:val="00090CFA"/>
    <w:rsid w:val="000A5F16"/>
    <w:rsid w:val="000A6687"/>
    <w:rsid w:val="000C089F"/>
    <w:rsid w:val="000C3928"/>
    <w:rsid w:val="000C5E8E"/>
    <w:rsid w:val="000F4751"/>
    <w:rsid w:val="0010524C"/>
    <w:rsid w:val="00111FB1"/>
    <w:rsid w:val="00113418"/>
    <w:rsid w:val="00124089"/>
    <w:rsid w:val="001356F1"/>
    <w:rsid w:val="00136994"/>
    <w:rsid w:val="0014128E"/>
    <w:rsid w:val="00143466"/>
    <w:rsid w:val="00151888"/>
    <w:rsid w:val="00156B16"/>
    <w:rsid w:val="00167445"/>
    <w:rsid w:val="00170A2D"/>
    <w:rsid w:val="001750EA"/>
    <w:rsid w:val="00175679"/>
    <w:rsid w:val="001808BC"/>
    <w:rsid w:val="00182B81"/>
    <w:rsid w:val="0018619D"/>
    <w:rsid w:val="001A011E"/>
    <w:rsid w:val="001A066A"/>
    <w:rsid w:val="001A13E6"/>
    <w:rsid w:val="001A2034"/>
    <w:rsid w:val="001A5731"/>
    <w:rsid w:val="001B42C3"/>
    <w:rsid w:val="001C3D96"/>
    <w:rsid w:val="001C5D5E"/>
    <w:rsid w:val="001D0CCD"/>
    <w:rsid w:val="001D678D"/>
    <w:rsid w:val="001E03F8"/>
    <w:rsid w:val="001E1678"/>
    <w:rsid w:val="001E3376"/>
    <w:rsid w:val="001E3FA8"/>
    <w:rsid w:val="002069B3"/>
    <w:rsid w:val="00210308"/>
    <w:rsid w:val="002329CF"/>
    <w:rsid w:val="00232F5B"/>
    <w:rsid w:val="00236913"/>
    <w:rsid w:val="00247C29"/>
    <w:rsid w:val="00253D16"/>
    <w:rsid w:val="00260467"/>
    <w:rsid w:val="0026064F"/>
    <w:rsid w:val="00263EA3"/>
    <w:rsid w:val="00284F85"/>
    <w:rsid w:val="00290915"/>
    <w:rsid w:val="002A22E2"/>
    <w:rsid w:val="002B2D94"/>
    <w:rsid w:val="002C64F7"/>
    <w:rsid w:val="002D6474"/>
    <w:rsid w:val="002D746D"/>
    <w:rsid w:val="002F41F2"/>
    <w:rsid w:val="00301BF3"/>
    <w:rsid w:val="0030208D"/>
    <w:rsid w:val="00305DFF"/>
    <w:rsid w:val="003169AC"/>
    <w:rsid w:val="00320F8B"/>
    <w:rsid w:val="00323418"/>
    <w:rsid w:val="003357BF"/>
    <w:rsid w:val="00352F41"/>
    <w:rsid w:val="00356CDB"/>
    <w:rsid w:val="003573BD"/>
    <w:rsid w:val="00364FAD"/>
    <w:rsid w:val="0036738F"/>
    <w:rsid w:val="0036759C"/>
    <w:rsid w:val="00367AE5"/>
    <w:rsid w:val="00367D71"/>
    <w:rsid w:val="0038150A"/>
    <w:rsid w:val="003B051E"/>
    <w:rsid w:val="003B49EC"/>
    <w:rsid w:val="003B6E75"/>
    <w:rsid w:val="003B7DA1"/>
    <w:rsid w:val="003D0379"/>
    <w:rsid w:val="003D2574"/>
    <w:rsid w:val="003D4C59"/>
    <w:rsid w:val="003F2FD4"/>
    <w:rsid w:val="003F4267"/>
    <w:rsid w:val="00404032"/>
    <w:rsid w:val="0040736F"/>
    <w:rsid w:val="00412C1F"/>
    <w:rsid w:val="00421CB2"/>
    <w:rsid w:val="004268B9"/>
    <w:rsid w:val="00433B96"/>
    <w:rsid w:val="004440F1"/>
    <w:rsid w:val="004456DD"/>
    <w:rsid w:val="00446CDF"/>
    <w:rsid w:val="004501DC"/>
    <w:rsid w:val="004521B7"/>
    <w:rsid w:val="0045774C"/>
    <w:rsid w:val="00462AB5"/>
    <w:rsid w:val="00465EAF"/>
    <w:rsid w:val="004738C5"/>
    <w:rsid w:val="00473938"/>
    <w:rsid w:val="00481BC5"/>
    <w:rsid w:val="00487056"/>
    <w:rsid w:val="00491046"/>
    <w:rsid w:val="00495847"/>
    <w:rsid w:val="004A2AC7"/>
    <w:rsid w:val="004A6D2F"/>
    <w:rsid w:val="004C2887"/>
    <w:rsid w:val="004D2626"/>
    <w:rsid w:val="004D52A9"/>
    <w:rsid w:val="004D6E26"/>
    <w:rsid w:val="004D77D3"/>
    <w:rsid w:val="004E2959"/>
    <w:rsid w:val="004E7749"/>
    <w:rsid w:val="004F20EF"/>
    <w:rsid w:val="004F2155"/>
    <w:rsid w:val="004F6789"/>
    <w:rsid w:val="0050321C"/>
    <w:rsid w:val="005033C5"/>
    <w:rsid w:val="00513A5B"/>
    <w:rsid w:val="00537155"/>
    <w:rsid w:val="0054252F"/>
    <w:rsid w:val="0054712D"/>
    <w:rsid w:val="00547EF6"/>
    <w:rsid w:val="005570B5"/>
    <w:rsid w:val="00567E18"/>
    <w:rsid w:val="00575F5F"/>
    <w:rsid w:val="00581805"/>
    <w:rsid w:val="0058403F"/>
    <w:rsid w:val="00585F76"/>
    <w:rsid w:val="005A34E4"/>
    <w:rsid w:val="005B17F2"/>
    <w:rsid w:val="005B3A06"/>
    <w:rsid w:val="005B7FB0"/>
    <w:rsid w:val="005C35A5"/>
    <w:rsid w:val="005C577C"/>
    <w:rsid w:val="005D0621"/>
    <w:rsid w:val="005D1E27"/>
    <w:rsid w:val="005D2A3E"/>
    <w:rsid w:val="005E022E"/>
    <w:rsid w:val="005E5215"/>
    <w:rsid w:val="005F7F7E"/>
    <w:rsid w:val="00614693"/>
    <w:rsid w:val="006220AC"/>
    <w:rsid w:val="00623C2F"/>
    <w:rsid w:val="0062719C"/>
    <w:rsid w:val="00632775"/>
    <w:rsid w:val="00633578"/>
    <w:rsid w:val="00636E8A"/>
    <w:rsid w:val="00637068"/>
    <w:rsid w:val="006477E6"/>
    <w:rsid w:val="00650811"/>
    <w:rsid w:val="00661D3E"/>
    <w:rsid w:val="00663B1C"/>
    <w:rsid w:val="00665C79"/>
    <w:rsid w:val="00690C3D"/>
    <w:rsid w:val="00692627"/>
    <w:rsid w:val="006969E7"/>
    <w:rsid w:val="00697204"/>
    <w:rsid w:val="006A2011"/>
    <w:rsid w:val="006A3643"/>
    <w:rsid w:val="006A3DDF"/>
    <w:rsid w:val="006B30A2"/>
    <w:rsid w:val="006C271F"/>
    <w:rsid w:val="006C2A29"/>
    <w:rsid w:val="006C64CF"/>
    <w:rsid w:val="006D17B1"/>
    <w:rsid w:val="006D354E"/>
    <w:rsid w:val="006D4752"/>
    <w:rsid w:val="006D4CDD"/>
    <w:rsid w:val="006D708A"/>
    <w:rsid w:val="006E14C1"/>
    <w:rsid w:val="006E5569"/>
    <w:rsid w:val="006F0292"/>
    <w:rsid w:val="006F27FA"/>
    <w:rsid w:val="006F416B"/>
    <w:rsid w:val="006F519B"/>
    <w:rsid w:val="00705A56"/>
    <w:rsid w:val="00710628"/>
    <w:rsid w:val="00713675"/>
    <w:rsid w:val="00715823"/>
    <w:rsid w:val="00737B93"/>
    <w:rsid w:val="00745BF0"/>
    <w:rsid w:val="007615FE"/>
    <w:rsid w:val="0076655C"/>
    <w:rsid w:val="007742DC"/>
    <w:rsid w:val="00791437"/>
    <w:rsid w:val="007B0C2C"/>
    <w:rsid w:val="007B278E"/>
    <w:rsid w:val="007C5C23"/>
    <w:rsid w:val="007E2A26"/>
    <w:rsid w:val="007F2348"/>
    <w:rsid w:val="008033AA"/>
    <w:rsid w:val="00803F07"/>
    <w:rsid w:val="0080749A"/>
    <w:rsid w:val="0080758B"/>
    <w:rsid w:val="008165BC"/>
    <w:rsid w:val="00821FB8"/>
    <w:rsid w:val="00822ACD"/>
    <w:rsid w:val="0082617A"/>
    <w:rsid w:val="00831594"/>
    <w:rsid w:val="00833DB5"/>
    <w:rsid w:val="00842DB0"/>
    <w:rsid w:val="008479BA"/>
    <w:rsid w:val="00855C66"/>
    <w:rsid w:val="00871EE4"/>
    <w:rsid w:val="00872311"/>
    <w:rsid w:val="008860E1"/>
    <w:rsid w:val="008A42B7"/>
    <w:rsid w:val="008B293F"/>
    <w:rsid w:val="008B7371"/>
    <w:rsid w:val="008C1220"/>
    <w:rsid w:val="008D3DDB"/>
    <w:rsid w:val="008E42DB"/>
    <w:rsid w:val="008F573F"/>
    <w:rsid w:val="009034EC"/>
    <w:rsid w:val="00912CA5"/>
    <w:rsid w:val="009169DA"/>
    <w:rsid w:val="0093067A"/>
    <w:rsid w:val="00941C60"/>
    <w:rsid w:val="00966D42"/>
    <w:rsid w:val="00971689"/>
    <w:rsid w:val="00973E90"/>
    <w:rsid w:val="00975B07"/>
    <w:rsid w:val="009772F9"/>
    <w:rsid w:val="009803AD"/>
    <w:rsid w:val="00980B4A"/>
    <w:rsid w:val="00981427"/>
    <w:rsid w:val="009E3D0A"/>
    <w:rsid w:val="009E51FC"/>
    <w:rsid w:val="009F1D28"/>
    <w:rsid w:val="009F7618"/>
    <w:rsid w:val="00A04D23"/>
    <w:rsid w:val="00A06766"/>
    <w:rsid w:val="00A13765"/>
    <w:rsid w:val="00A21B12"/>
    <w:rsid w:val="00A23F80"/>
    <w:rsid w:val="00A2619C"/>
    <w:rsid w:val="00A26419"/>
    <w:rsid w:val="00A45577"/>
    <w:rsid w:val="00A46DB6"/>
    <w:rsid w:val="00A46E98"/>
    <w:rsid w:val="00A6352B"/>
    <w:rsid w:val="00A701B5"/>
    <w:rsid w:val="00A714BB"/>
    <w:rsid w:val="00A91BA2"/>
    <w:rsid w:val="00A92D8F"/>
    <w:rsid w:val="00A94E60"/>
    <w:rsid w:val="00AB2988"/>
    <w:rsid w:val="00AB7999"/>
    <w:rsid w:val="00AD3292"/>
    <w:rsid w:val="00AE7AF0"/>
    <w:rsid w:val="00AF4BF8"/>
    <w:rsid w:val="00B1478E"/>
    <w:rsid w:val="00B15DAA"/>
    <w:rsid w:val="00B40971"/>
    <w:rsid w:val="00B500CA"/>
    <w:rsid w:val="00B616DC"/>
    <w:rsid w:val="00B85304"/>
    <w:rsid w:val="00B86314"/>
    <w:rsid w:val="00BA1BBC"/>
    <w:rsid w:val="00BA1C2E"/>
    <w:rsid w:val="00BC0A2E"/>
    <w:rsid w:val="00BC200B"/>
    <w:rsid w:val="00BC2BE7"/>
    <w:rsid w:val="00BC4756"/>
    <w:rsid w:val="00BC69A4"/>
    <w:rsid w:val="00BD3BD0"/>
    <w:rsid w:val="00BE0680"/>
    <w:rsid w:val="00BE305F"/>
    <w:rsid w:val="00BE7BA3"/>
    <w:rsid w:val="00BF5682"/>
    <w:rsid w:val="00BF7B09"/>
    <w:rsid w:val="00C07C30"/>
    <w:rsid w:val="00C20A95"/>
    <w:rsid w:val="00C2692F"/>
    <w:rsid w:val="00C3207C"/>
    <w:rsid w:val="00C36BBB"/>
    <w:rsid w:val="00C400E1"/>
    <w:rsid w:val="00C41187"/>
    <w:rsid w:val="00C50470"/>
    <w:rsid w:val="00C63C31"/>
    <w:rsid w:val="00C757A0"/>
    <w:rsid w:val="00C760DE"/>
    <w:rsid w:val="00C82630"/>
    <w:rsid w:val="00C85B4E"/>
    <w:rsid w:val="00C907F7"/>
    <w:rsid w:val="00CA2103"/>
    <w:rsid w:val="00CA2D7D"/>
    <w:rsid w:val="00CA400C"/>
    <w:rsid w:val="00CB1F49"/>
    <w:rsid w:val="00CB22EC"/>
    <w:rsid w:val="00CB6B99"/>
    <w:rsid w:val="00CB6F15"/>
    <w:rsid w:val="00CC289B"/>
    <w:rsid w:val="00CE4C87"/>
    <w:rsid w:val="00CE544A"/>
    <w:rsid w:val="00D03855"/>
    <w:rsid w:val="00D11E1C"/>
    <w:rsid w:val="00D160B0"/>
    <w:rsid w:val="00D17F94"/>
    <w:rsid w:val="00D223FC"/>
    <w:rsid w:val="00D26D1E"/>
    <w:rsid w:val="00D30886"/>
    <w:rsid w:val="00D4047E"/>
    <w:rsid w:val="00D474CF"/>
    <w:rsid w:val="00D5547E"/>
    <w:rsid w:val="00D56C39"/>
    <w:rsid w:val="00D869A1"/>
    <w:rsid w:val="00DA413F"/>
    <w:rsid w:val="00DA4584"/>
    <w:rsid w:val="00DA614B"/>
    <w:rsid w:val="00DC3060"/>
    <w:rsid w:val="00DD7C3A"/>
    <w:rsid w:val="00DE0FB2"/>
    <w:rsid w:val="00DF093E"/>
    <w:rsid w:val="00DF74B2"/>
    <w:rsid w:val="00E00A50"/>
    <w:rsid w:val="00E01F42"/>
    <w:rsid w:val="00E1775D"/>
    <w:rsid w:val="00E206D6"/>
    <w:rsid w:val="00E272B7"/>
    <w:rsid w:val="00E3366E"/>
    <w:rsid w:val="00E445E4"/>
    <w:rsid w:val="00E52086"/>
    <w:rsid w:val="00E5433B"/>
    <w:rsid w:val="00E543A6"/>
    <w:rsid w:val="00E60479"/>
    <w:rsid w:val="00E60808"/>
    <w:rsid w:val="00E61D73"/>
    <w:rsid w:val="00E73684"/>
    <w:rsid w:val="00E745AF"/>
    <w:rsid w:val="00E818D6"/>
    <w:rsid w:val="00E86939"/>
    <w:rsid w:val="00E87F7A"/>
    <w:rsid w:val="00E96BD7"/>
    <w:rsid w:val="00EA0DB1"/>
    <w:rsid w:val="00EA0EE9"/>
    <w:rsid w:val="00EB761F"/>
    <w:rsid w:val="00EC3CEE"/>
    <w:rsid w:val="00ED52CA"/>
    <w:rsid w:val="00ED5860"/>
    <w:rsid w:val="00EE35C9"/>
    <w:rsid w:val="00EF486C"/>
    <w:rsid w:val="00F05ECA"/>
    <w:rsid w:val="00F3566E"/>
    <w:rsid w:val="00F375FB"/>
    <w:rsid w:val="00F41AC1"/>
    <w:rsid w:val="00F4367A"/>
    <w:rsid w:val="00F445B1"/>
    <w:rsid w:val="00F45CD4"/>
    <w:rsid w:val="00F5574F"/>
    <w:rsid w:val="00F66DCA"/>
    <w:rsid w:val="00F705F1"/>
    <w:rsid w:val="00F73189"/>
    <w:rsid w:val="00F74F53"/>
    <w:rsid w:val="00F7606D"/>
    <w:rsid w:val="00F81670"/>
    <w:rsid w:val="00F82024"/>
    <w:rsid w:val="00F95BC9"/>
    <w:rsid w:val="00F968B3"/>
    <w:rsid w:val="00FA624C"/>
    <w:rsid w:val="00FD0FAC"/>
    <w:rsid w:val="00FD1DFA"/>
    <w:rsid w:val="00FD4966"/>
    <w:rsid w:val="00FD604F"/>
    <w:rsid w:val="00FD655C"/>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985298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uart.fitzsimmons@oxfordds.co.uk" TargetMode="External"/><Relationship Id="rId4" Type="http://schemas.microsoft.com/office/2007/relationships/stylesWithEffects" Target="stylesWithEffects.xml"/><Relationship Id="rId9" Type="http://schemas.openxmlformats.org/officeDocument/2006/relationships/hyperlink" Target="mailto:Laura.harlock@oxfordd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33DF-F714-4498-900D-B78F652A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D83FC315</Template>
  <TotalTime>58</TotalTime>
  <Pages>4</Pages>
  <Words>1409</Words>
  <Characters>7226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laura.harlock</dc:creator>
  <cp:lastModifiedBy>JMitchell</cp:lastModifiedBy>
  <cp:revision>10</cp:revision>
  <cp:lastPrinted>2015-07-03T13:50:00Z</cp:lastPrinted>
  <dcterms:created xsi:type="dcterms:W3CDTF">2019-05-05T12:25:00Z</dcterms:created>
  <dcterms:modified xsi:type="dcterms:W3CDTF">2019-05-20T11:51:00Z</dcterms:modified>
</cp:coreProperties>
</file>